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BFBF0" w14:textId="005FE320" w:rsidR="00AE2551" w:rsidRPr="007228D2" w:rsidRDefault="00613C89" w:rsidP="005837CC">
      <w:pPr>
        <w:spacing w:before="120" w:after="120" w:line="240" w:lineRule="auto"/>
        <w:ind w:right="-329"/>
        <w:jc w:val="center"/>
        <w:rPr>
          <w:b/>
          <w:sz w:val="24"/>
          <w:szCs w:val="24"/>
        </w:rPr>
      </w:pPr>
      <w:bookmarkStart w:id="0" w:name="_Hlk31966689"/>
      <w:r w:rsidRPr="007228D2">
        <w:rPr>
          <w:b/>
          <w:sz w:val="24"/>
          <w:szCs w:val="24"/>
        </w:rPr>
        <w:t>Dudley</w:t>
      </w:r>
      <w:r w:rsidR="00AE2551" w:rsidRPr="007228D2">
        <w:rPr>
          <w:b/>
          <w:sz w:val="24"/>
          <w:szCs w:val="24"/>
        </w:rPr>
        <w:t xml:space="preserve"> Town Deal </w:t>
      </w:r>
      <w:r w:rsidRPr="007228D2">
        <w:rPr>
          <w:b/>
          <w:sz w:val="24"/>
          <w:szCs w:val="24"/>
        </w:rPr>
        <w:t xml:space="preserve">Board </w:t>
      </w:r>
    </w:p>
    <w:p w14:paraId="0F3B7D12" w14:textId="6400BA20" w:rsidR="00523D42" w:rsidRPr="007228D2" w:rsidRDefault="004919EC" w:rsidP="005837CC">
      <w:pPr>
        <w:spacing w:before="120" w:after="120" w:line="240" w:lineRule="auto"/>
        <w:ind w:right="-329"/>
        <w:jc w:val="center"/>
        <w:rPr>
          <w:b/>
          <w:sz w:val="24"/>
          <w:szCs w:val="24"/>
        </w:rPr>
      </w:pPr>
      <w:r w:rsidRPr="007228D2">
        <w:rPr>
          <w:b/>
          <w:sz w:val="24"/>
          <w:szCs w:val="24"/>
        </w:rPr>
        <w:t>Pro</w:t>
      </w:r>
      <w:r w:rsidR="00F16351" w:rsidRPr="007228D2">
        <w:rPr>
          <w:b/>
          <w:sz w:val="24"/>
          <w:szCs w:val="24"/>
        </w:rPr>
        <w:t>ject Prioritisation</w:t>
      </w:r>
      <w:r w:rsidR="00F81E7E" w:rsidRPr="007228D2">
        <w:rPr>
          <w:b/>
          <w:sz w:val="24"/>
          <w:szCs w:val="24"/>
        </w:rPr>
        <w:t xml:space="preserve"> for the Town Investment Plan</w:t>
      </w:r>
    </w:p>
    <w:bookmarkEnd w:id="0"/>
    <w:p w14:paraId="7839CB31" w14:textId="16C3E6D3" w:rsidR="008577CE" w:rsidRPr="00A86A0B" w:rsidRDefault="005A766C" w:rsidP="005837CC">
      <w:pPr>
        <w:pStyle w:val="Heading1"/>
        <w:spacing w:before="120" w:after="120" w:line="240" w:lineRule="auto"/>
        <w:ind w:hanging="567"/>
        <w:jc w:val="both"/>
        <w:rPr>
          <w:rFonts w:asciiTheme="minorHAnsi" w:hAnsiTheme="minorHAnsi" w:cstheme="minorHAnsi"/>
          <w:b/>
          <w:bCs/>
          <w:color w:val="auto"/>
          <w:sz w:val="22"/>
          <w:szCs w:val="22"/>
        </w:rPr>
      </w:pPr>
      <w:r w:rsidRPr="00A86A0B">
        <w:rPr>
          <w:rFonts w:asciiTheme="minorHAnsi" w:hAnsiTheme="minorHAnsi" w:cstheme="minorHAnsi"/>
          <w:b/>
          <w:bCs/>
          <w:color w:val="auto"/>
          <w:sz w:val="22"/>
          <w:szCs w:val="22"/>
        </w:rPr>
        <w:t>1</w:t>
      </w:r>
      <w:r w:rsidRPr="00A86A0B">
        <w:rPr>
          <w:rFonts w:asciiTheme="minorHAnsi" w:hAnsiTheme="minorHAnsi" w:cstheme="minorHAnsi"/>
          <w:b/>
          <w:bCs/>
          <w:color w:val="auto"/>
          <w:sz w:val="22"/>
          <w:szCs w:val="22"/>
        </w:rPr>
        <w:tab/>
      </w:r>
      <w:r w:rsidR="008577CE" w:rsidRPr="00A86A0B">
        <w:rPr>
          <w:rFonts w:asciiTheme="minorHAnsi" w:hAnsiTheme="minorHAnsi" w:cstheme="minorHAnsi"/>
          <w:b/>
          <w:bCs/>
          <w:color w:val="auto"/>
          <w:sz w:val="22"/>
          <w:szCs w:val="22"/>
        </w:rPr>
        <w:t>Introduction</w:t>
      </w:r>
    </w:p>
    <w:p w14:paraId="098CE76C" w14:textId="77777777" w:rsidR="00660F45" w:rsidRDefault="00C961FE" w:rsidP="00A86A0B">
      <w:pPr>
        <w:spacing w:before="120" w:after="120" w:line="240" w:lineRule="auto"/>
        <w:jc w:val="both"/>
      </w:pPr>
      <w:r w:rsidRPr="00A86A0B">
        <w:t>This</w:t>
      </w:r>
      <w:r w:rsidR="00613C89" w:rsidRPr="00A86A0B">
        <w:t xml:space="preserve"> report has been </w:t>
      </w:r>
      <w:r w:rsidR="00F81E7E" w:rsidRPr="00A86A0B">
        <w:t xml:space="preserve">prepared to update the Town Deal Board on the outcome of the project  prioritisation process carried out </w:t>
      </w:r>
      <w:r w:rsidR="00A86A0B">
        <w:t xml:space="preserve">to demonstrate the full range of options explored for Towns Funding. </w:t>
      </w:r>
    </w:p>
    <w:p w14:paraId="47964E1F" w14:textId="1D92E385" w:rsidR="00A86A0B" w:rsidRDefault="00A86A0B" w:rsidP="00A86A0B">
      <w:pPr>
        <w:spacing w:before="120" w:after="120" w:line="240" w:lineRule="auto"/>
        <w:jc w:val="both"/>
      </w:pPr>
      <w:r>
        <w:t xml:space="preserve">The </w:t>
      </w:r>
      <w:r w:rsidR="00660F45">
        <w:t>following projects</w:t>
      </w:r>
      <w:r w:rsidR="004C2635">
        <w:t>, which include a mix of public and private sector schemes</w:t>
      </w:r>
      <w:r w:rsidR="00660F45">
        <w:t xml:space="preserve"> were considered as part of the process</w:t>
      </w:r>
      <w:r w:rsidR="004C2635">
        <w:t xml:space="preserve">.  The prioritisation built on </w:t>
      </w:r>
      <w:r w:rsidR="00660F45">
        <w:t>guidance provided by the Towns Hub</w:t>
      </w:r>
      <w:r w:rsidR="00AD322A">
        <w:t xml:space="preserve"> – the body</w:t>
      </w:r>
      <w:r w:rsidR="00660F45">
        <w:t xml:space="preserve"> established</w:t>
      </w:r>
      <w:r w:rsidR="00AD322A">
        <w:t xml:space="preserve"> by MHCLG </w:t>
      </w:r>
      <w:r w:rsidR="00660F45">
        <w:t>to advise Towns on the development of their Investment Plans:</w:t>
      </w:r>
    </w:p>
    <w:p w14:paraId="2BF939B0" w14:textId="24E12A03" w:rsidR="00660F45" w:rsidRDefault="00660F45" w:rsidP="00660F45">
      <w:pPr>
        <w:pStyle w:val="ListParagraph"/>
        <w:numPr>
          <w:ilvl w:val="0"/>
          <w:numId w:val="40"/>
        </w:numPr>
        <w:spacing w:before="120" w:after="120" w:line="240" w:lineRule="auto"/>
        <w:jc w:val="both"/>
      </w:pPr>
      <w:r>
        <w:t>Castle Hill Phase 2 – Castle and Zoo improvements</w:t>
      </w:r>
    </w:p>
    <w:p w14:paraId="6D157108" w14:textId="54223925" w:rsidR="00660F45" w:rsidRDefault="00660F45" w:rsidP="00660F45">
      <w:pPr>
        <w:pStyle w:val="ListParagraph"/>
        <w:numPr>
          <w:ilvl w:val="0"/>
          <w:numId w:val="40"/>
        </w:numPr>
        <w:spacing w:before="120" w:after="120" w:line="240" w:lineRule="auto"/>
        <w:jc w:val="both"/>
      </w:pPr>
      <w:r>
        <w:t xml:space="preserve">Public Realm Improvements </w:t>
      </w:r>
    </w:p>
    <w:p w14:paraId="7DCB10B5" w14:textId="48EBC3D4" w:rsidR="00660F45" w:rsidRDefault="00660F45" w:rsidP="00660F45">
      <w:pPr>
        <w:pStyle w:val="ListParagraph"/>
        <w:numPr>
          <w:ilvl w:val="0"/>
          <w:numId w:val="40"/>
        </w:numPr>
        <w:spacing w:before="120" w:after="120" w:line="240" w:lineRule="auto"/>
        <w:jc w:val="both"/>
      </w:pPr>
      <w:r>
        <w:t xml:space="preserve">University Centre </w:t>
      </w:r>
    </w:p>
    <w:p w14:paraId="17C479FA" w14:textId="2EA4722F" w:rsidR="00660F45" w:rsidRDefault="00660F45" w:rsidP="00660F45">
      <w:pPr>
        <w:pStyle w:val="ListParagraph"/>
        <w:numPr>
          <w:ilvl w:val="0"/>
          <w:numId w:val="40"/>
        </w:numPr>
        <w:spacing w:before="120" w:after="120" w:line="240" w:lineRule="auto"/>
        <w:jc w:val="both"/>
      </w:pPr>
      <w:r>
        <w:t xml:space="preserve">Portersfield </w:t>
      </w:r>
    </w:p>
    <w:p w14:paraId="75BD4E3C" w14:textId="2606BAD5" w:rsidR="00660F45" w:rsidRDefault="00660F45" w:rsidP="00660F45">
      <w:pPr>
        <w:pStyle w:val="ListParagraph"/>
        <w:numPr>
          <w:ilvl w:val="0"/>
          <w:numId w:val="40"/>
        </w:numPr>
        <w:spacing w:before="120" w:after="120" w:line="240" w:lineRule="auto"/>
        <w:jc w:val="both"/>
      </w:pPr>
      <w:r>
        <w:t xml:space="preserve">Transport Interchange </w:t>
      </w:r>
    </w:p>
    <w:p w14:paraId="6B3A478E" w14:textId="62BFA913" w:rsidR="00660F45" w:rsidRDefault="00660F45" w:rsidP="00660F45">
      <w:pPr>
        <w:pStyle w:val="ListParagraph"/>
        <w:numPr>
          <w:ilvl w:val="0"/>
          <w:numId w:val="40"/>
        </w:numPr>
        <w:spacing w:before="120" w:after="120" w:line="240" w:lineRule="auto"/>
        <w:jc w:val="both"/>
      </w:pPr>
      <w:r>
        <w:t xml:space="preserve">Old Post Office </w:t>
      </w:r>
    </w:p>
    <w:p w14:paraId="12E1D568" w14:textId="718800F6" w:rsidR="00660F45" w:rsidRDefault="00660F45" w:rsidP="00660F45">
      <w:pPr>
        <w:pStyle w:val="ListParagraph"/>
        <w:numPr>
          <w:ilvl w:val="0"/>
          <w:numId w:val="40"/>
        </w:numPr>
        <w:spacing w:before="120" w:after="120" w:line="240" w:lineRule="auto"/>
        <w:jc w:val="both"/>
      </w:pPr>
      <w:r>
        <w:t xml:space="preserve">Churchill Shopping Centre </w:t>
      </w:r>
    </w:p>
    <w:p w14:paraId="2024CBE4" w14:textId="574F565B" w:rsidR="00660F45" w:rsidRPr="00A86A0B" w:rsidRDefault="00660F45" w:rsidP="00660F45">
      <w:pPr>
        <w:pStyle w:val="Heading1"/>
        <w:spacing w:before="120" w:after="120" w:line="240" w:lineRule="auto"/>
        <w:ind w:hanging="56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2</w:t>
      </w:r>
      <w:r w:rsidRPr="00A86A0B">
        <w:rPr>
          <w:rFonts w:asciiTheme="minorHAnsi" w:hAnsiTheme="minorHAnsi" w:cstheme="minorHAnsi"/>
          <w:b/>
          <w:bCs/>
          <w:color w:val="auto"/>
          <w:sz w:val="22"/>
          <w:szCs w:val="22"/>
        </w:rPr>
        <w:tab/>
      </w:r>
      <w:r>
        <w:rPr>
          <w:rFonts w:asciiTheme="minorHAnsi" w:hAnsiTheme="minorHAnsi" w:cstheme="minorHAnsi"/>
          <w:b/>
          <w:bCs/>
          <w:color w:val="auto"/>
          <w:sz w:val="22"/>
          <w:szCs w:val="22"/>
        </w:rPr>
        <w:t xml:space="preserve">The Project Prioritisation Tool   </w:t>
      </w:r>
    </w:p>
    <w:p w14:paraId="0181E6ED" w14:textId="1BF87AFA" w:rsidR="008E50C1" w:rsidRPr="008E50C1" w:rsidRDefault="00660F45" w:rsidP="008E50C1">
      <w:pPr>
        <w:spacing w:before="120" w:after="120" w:line="240" w:lineRule="auto"/>
        <w:jc w:val="both"/>
        <w:rPr>
          <w:rFonts w:cstheme="minorHAnsi"/>
        </w:rPr>
      </w:pPr>
      <w:r w:rsidRPr="00AD322A">
        <w:rPr>
          <w:rFonts w:cstheme="minorHAnsi"/>
        </w:rPr>
        <w:t>The Towns Hub developed the tool to h</w:t>
      </w:r>
      <w:r w:rsidR="008E50C1" w:rsidRPr="00AD322A">
        <w:rPr>
          <w:rFonts w:cstheme="minorHAnsi"/>
        </w:rPr>
        <w:t>elp towns ensure that the projects put forward for further appraisal fit the Town’s</w:t>
      </w:r>
      <w:r w:rsidRPr="00AD322A">
        <w:rPr>
          <w:rFonts w:cstheme="minorHAnsi"/>
        </w:rPr>
        <w:t xml:space="preserve"> Fund </w:t>
      </w:r>
      <w:r w:rsidR="008E50C1" w:rsidRPr="00AD322A">
        <w:rPr>
          <w:rFonts w:cstheme="minorHAnsi"/>
        </w:rPr>
        <w:t>objectives and MHCLG’s requirements</w:t>
      </w:r>
      <w:r w:rsidR="00AD322A">
        <w:rPr>
          <w:rFonts w:cstheme="minorHAnsi"/>
        </w:rPr>
        <w:t>, however it has been stressed that use of the Tool is not mandatory</w:t>
      </w:r>
      <w:r w:rsidR="008E50C1" w:rsidRPr="008E50C1">
        <w:rPr>
          <w:rFonts w:cstheme="minorHAnsi"/>
        </w:rPr>
        <w:t>.</w:t>
      </w:r>
    </w:p>
    <w:p w14:paraId="5545D6EF" w14:textId="3C284658" w:rsidR="008E50C1" w:rsidRPr="008E50C1" w:rsidRDefault="008E50C1" w:rsidP="008E50C1">
      <w:pPr>
        <w:spacing w:before="120" w:after="120" w:line="240" w:lineRule="auto"/>
        <w:jc w:val="both"/>
        <w:rPr>
          <w:rFonts w:cstheme="minorHAnsi"/>
        </w:rPr>
      </w:pPr>
      <w:r w:rsidRPr="008E50C1">
        <w:rPr>
          <w:rFonts w:cstheme="minorHAnsi"/>
        </w:rPr>
        <w:t>The assessment is carried out in two stages:</w:t>
      </w:r>
    </w:p>
    <w:p w14:paraId="583FDD5F" w14:textId="014CC7F5" w:rsidR="008E50C1" w:rsidRPr="00AD322A" w:rsidRDefault="00EB40CA" w:rsidP="00EB40CA">
      <w:pPr>
        <w:pStyle w:val="ListParagraph"/>
        <w:numPr>
          <w:ilvl w:val="0"/>
          <w:numId w:val="41"/>
        </w:numPr>
        <w:spacing w:after="120" w:line="240" w:lineRule="auto"/>
        <w:jc w:val="both"/>
        <w:rPr>
          <w:rFonts w:cstheme="minorHAnsi"/>
        </w:rPr>
      </w:pPr>
      <w:r>
        <w:rPr>
          <w:rFonts w:cstheme="minorHAnsi"/>
        </w:rPr>
        <w:t>An i</w:t>
      </w:r>
      <w:r w:rsidR="00AD322A">
        <w:rPr>
          <w:rFonts w:cstheme="minorHAnsi"/>
        </w:rPr>
        <w:t xml:space="preserve">nitial sift – this pass/fail </w:t>
      </w:r>
      <w:r w:rsidR="008E50C1" w:rsidRPr="00AD322A">
        <w:rPr>
          <w:rFonts w:cstheme="minorHAnsi"/>
        </w:rPr>
        <w:t xml:space="preserve">test </w:t>
      </w:r>
      <w:r w:rsidR="00AD322A">
        <w:rPr>
          <w:rFonts w:cstheme="minorHAnsi"/>
        </w:rPr>
        <w:t xml:space="preserve">seeks to identify whether projects meet the eligibility criteria (in terms of </w:t>
      </w:r>
      <w:r>
        <w:rPr>
          <w:rFonts w:cstheme="minorHAnsi"/>
        </w:rPr>
        <w:t>it being C</w:t>
      </w:r>
      <w:r w:rsidR="00AD322A">
        <w:rPr>
          <w:rFonts w:cstheme="minorHAnsi"/>
        </w:rPr>
        <w:t xml:space="preserve">apital </w:t>
      </w:r>
      <w:r>
        <w:rPr>
          <w:rFonts w:cstheme="minorHAnsi"/>
        </w:rPr>
        <w:t>S</w:t>
      </w:r>
      <w:r w:rsidR="00AD322A">
        <w:rPr>
          <w:rFonts w:cstheme="minorHAnsi"/>
        </w:rPr>
        <w:t xml:space="preserve">pend; </w:t>
      </w:r>
      <w:r>
        <w:rPr>
          <w:rFonts w:cstheme="minorHAnsi"/>
        </w:rPr>
        <w:t xml:space="preserve">within the Boundary; within the Towns Fund Budget; Aligned with the Vision; ability to meet at least one Towns Fund Intervention Themes’; </w:t>
      </w:r>
    </w:p>
    <w:p w14:paraId="41C76CAC" w14:textId="77777777" w:rsidR="00EB40CA" w:rsidRDefault="00EB40CA" w:rsidP="00EB40CA">
      <w:pPr>
        <w:pStyle w:val="ListParagraph"/>
        <w:spacing w:after="120" w:line="240" w:lineRule="auto"/>
        <w:jc w:val="both"/>
        <w:rPr>
          <w:rFonts w:cstheme="minorHAnsi"/>
        </w:rPr>
      </w:pPr>
    </w:p>
    <w:p w14:paraId="251C644C" w14:textId="2CCE4F33" w:rsidR="008E50C1" w:rsidRPr="00EB40CA" w:rsidRDefault="00EB40CA" w:rsidP="00EB40CA">
      <w:pPr>
        <w:pStyle w:val="ListParagraph"/>
        <w:numPr>
          <w:ilvl w:val="0"/>
          <w:numId w:val="41"/>
        </w:numPr>
        <w:spacing w:after="120" w:line="240" w:lineRule="auto"/>
        <w:jc w:val="both"/>
        <w:rPr>
          <w:rFonts w:cstheme="minorHAnsi"/>
        </w:rPr>
      </w:pPr>
      <w:r w:rsidRPr="00EB40CA">
        <w:rPr>
          <w:rFonts w:cstheme="minorHAnsi"/>
        </w:rPr>
        <w:t>Assessment stage - t</w:t>
      </w:r>
      <w:r w:rsidR="008E50C1" w:rsidRPr="00EB40CA">
        <w:rPr>
          <w:rFonts w:cstheme="minorHAnsi"/>
        </w:rPr>
        <w:t xml:space="preserve">hose projects that make it through the sifting stage are then brought forward to the assessment stage, where the projects can be scored against a set of </w:t>
      </w:r>
      <w:r w:rsidRPr="00EB40CA">
        <w:rPr>
          <w:rFonts w:cstheme="minorHAnsi"/>
        </w:rPr>
        <w:t>T</w:t>
      </w:r>
      <w:r w:rsidR="008E50C1" w:rsidRPr="00EB40CA">
        <w:rPr>
          <w:rFonts w:cstheme="minorHAnsi"/>
        </w:rPr>
        <w:t>own specific criteria and HMT Green Book Appraisal Criteria.</w:t>
      </w:r>
    </w:p>
    <w:p w14:paraId="68D8141D" w14:textId="3DAA3CF5" w:rsidR="00EB40CA" w:rsidRDefault="00EB40CA" w:rsidP="008E50C1">
      <w:pPr>
        <w:spacing w:before="120" w:after="120" w:line="240" w:lineRule="auto"/>
        <w:jc w:val="both"/>
        <w:rPr>
          <w:rFonts w:cstheme="minorHAnsi"/>
          <w:b/>
          <w:bCs/>
        </w:rPr>
      </w:pPr>
      <w:r>
        <w:rPr>
          <w:rFonts w:cstheme="minorHAnsi"/>
          <w:b/>
          <w:bCs/>
        </w:rPr>
        <w:t xml:space="preserve">Local Criteria </w:t>
      </w:r>
    </w:p>
    <w:p w14:paraId="3287BD64" w14:textId="0E6CE2BF" w:rsidR="00EB40CA" w:rsidRDefault="00EB40CA" w:rsidP="008E50C1">
      <w:pPr>
        <w:spacing w:before="120" w:after="120" w:line="240" w:lineRule="auto"/>
        <w:jc w:val="both"/>
        <w:rPr>
          <w:rFonts w:cstheme="minorHAnsi"/>
        </w:rPr>
      </w:pPr>
      <w:r w:rsidRPr="00EB40CA">
        <w:rPr>
          <w:rFonts w:cstheme="minorHAnsi"/>
        </w:rPr>
        <w:t>The local criteria used as part of the assessment process were selected given their relevance to the Town’s vision, objectives and strategy.  They included:</w:t>
      </w:r>
    </w:p>
    <w:tbl>
      <w:tblPr>
        <w:tblW w:w="9160" w:type="dxa"/>
        <w:tblLook w:val="04A0" w:firstRow="1" w:lastRow="0" w:firstColumn="1" w:lastColumn="0" w:noHBand="0" w:noVBand="1"/>
      </w:tblPr>
      <w:tblGrid>
        <w:gridCol w:w="9160"/>
      </w:tblGrid>
      <w:tr w:rsidR="004C2635" w:rsidRPr="004C2635" w14:paraId="7362547C" w14:textId="77777777" w:rsidTr="004F4412">
        <w:trPr>
          <w:trHeight w:val="285"/>
        </w:trPr>
        <w:tc>
          <w:tcPr>
            <w:tcW w:w="9160" w:type="dxa"/>
            <w:tcBorders>
              <w:top w:val="single" w:sz="4" w:space="0" w:color="808080"/>
              <w:left w:val="nil"/>
              <w:bottom w:val="single" w:sz="4" w:space="0" w:color="808080"/>
              <w:right w:val="nil"/>
            </w:tcBorders>
            <w:shd w:val="clear" w:color="000000" w:fill="FFF2CC"/>
            <w:noWrap/>
            <w:hideMark/>
          </w:tcPr>
          <w:p w14:paraId="23AB0818" w14:textId="2DBD473E"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Contribution to the Towns Fund objectives</w:t>
            </w:r>
          </w:p>
        </w:tc>
      </w:tr>
      <w:tr w:rsidR="004C2635" w:rsidRPr="004C2635" w14:paraId="0252B916" w14:textId="77777777" w:rsidTr="004F4412">
        <w:trPr>
          <w:trHeight w:val="285"/>
        </w:trPr>
        <w:tc>
          <w:tcPr>
            <w:tcW w:w="9160" w:type="dxa"/>
            <w:tcBorders>
              <w:top w:val="nil"/>
              <w:left w:val="nil"/>
              <w:bottom w:val="single" w:sz="4" w:space="0" w:color="808080"/>
              <w:right w:val="nil"/>
            </w:tcBorders>
            <w:shd w:val="clear" w:color="000000" w:fill="FFF2CC"/>
            <w:noWrap/>
            <w:hideMark/>
          </w:tcPr>
          <w:p w14:paraId="1E501C19" w14:textId="5B46574D"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Strategic Fit – e.g. Industrial Strategy (improving productivity); Levelling-up (inclusive growth)</w:t>
            </w:r>
          </w:p>
        </w:tc>
      </w:tr>
      <w:tr w:rsidR="004C2635" w:rsidRPr="004C2635" w14:paraId="3CD20B73" w14:textId="77777777" w:rsidTr="004F4412">
        <w:trPr>
          <w:trHeight w:val="300"/>
        </w:trPr>
        <w:tc>
          <w:tcPr>
            <w:tcW w:w="9160" w:type="dxa"/>
            <w:tcBorders>
              <w:top w:val="nil"/>
              <w:left w:val="nil"/>
              <w:bottom w:val="single" w:sz="4" w:space="0" w:color="808080"/>
              <w:right w:val="nil"/>
            </w:tcBorders>
            <w:shd w:val="clear" w:color="000000" w:fill="FFF2CC"/>
            <w:noWrap/>
            <w:hideMark/>
          </w:tcPr>
          <w:p w14:paraId="3A9337D7" w14:textId="1534ABF5"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 xml:space="preserve">Local Consultation </w:t>
            </w:r>
          </w:p>
        </w:tc>
      </w:tr>
      <w:tr w:rsidR="004C2635" w:rsidRPr="004C2635" w14:paraId="72CF935D" w14:textId="77777777" w:rsidTr="004F4412">
        <w:trPr>
          <w:trHeight w:val="300"/>
        </w:trPr>
        <w:tc>
          <w:tcPr>
            <w:tcW w:w="9160" w:type="dxa"/>
            <w:tcBorders>
              <w:top w:val="nil"/>
              <w:left w:val="nil"/>
              <w:bottom w:val="single" w:sz="4" w:space="0" w:color="808080"/>
              <w:right w:val="nil"/>
            </w:tcBorders>
            <w:shd w:val="clear" w:color="000000" w:fill="FFF2CC"/>
            <w:noWrap/>
            <w:hideMark/>
          </w:tcPr>
          <w:p w14:paraId="610E0B2C" w14:textId="73281A28"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 xml:space="preserve">Improved skills and educational attainment </w:t>
            </w:r>
          </w:p>
        </w:tc>
      </w:tr>
      <w:tr w:rsidR="004C2635" w:rsidRPr="004C2635" w14:paraId="02399937" w14:textId="77777777" w:rsidTr="004F4412">
        <w:trPr>
          <w:trHeight w:val="285"/>
        </w:trPr>
        <w:tc>
          <w:tcPr>
            <w:tcW w:w="9160" w:type="dxa"/>
            <w:tcBorders>
              <w:top w:val="nil"/>
              <w:left w:val="nil"/>
              <w:bottom w:val="single" w:sz="4" w:space="0" w:color="808080"/>
              <w:right w:val="nil"/>
            </w:tcBorders>
            <w:shd w:val="clear" w:color="000000" w:fill="FFF2CC"/>
            <w:noWrap/>
            <w:hideMark/>
          </w:tcPr>
          <w:p w14:paraId="205544B5" w14:textId="2F12A6CE"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 xml:space="preserve">Potential to stimulate further investment and growth </w:t>
            </w:r>
          </w:p>
        </w:tc>
      </w:tr>
      <w:tr w:rsidR="004C2635" w:rsidRPr="004C2635" w14:paraId="7BDE8EF5" w14:textId="77777777" w:rsidTr="004F4412">
        <w:trPr>
          <w:trHeight w:val="285"/>
        </w:trPr>
        <w:tc>
          <w:tcPr>
            <w:tcW w:w="9160" w:type="dxa"/>
            <w:tcBorders>
              <w:top w:val="nil"/>
              <w:left w:val="nil"/>
              <w:bottom w:val="single" w:sz="4" w:space="0" w:color="808080"/>
              <w:right w:val="nil"/>
            </w:tcBorders>
            <w:shd w:val="clear" w:color="000000" w:fill="FFF2CC"/>
            <w:noWrap/>
            <w:hideMark/>
          </w:tcPr>
          <w:p w14:paraId="76B79510" w14:textId="06AE4485"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 xml:space="preserve">Ability to contribute to creating a higher value-added economy </w:t>
            </w:r>
          </w:p>
        </w:tc>
      </w:tr>
      <w:tr w:rsidR="004C2635" w:rsidRPr="004C2635" w14:paraId="5DD0D3CC" w14:textId="77777777" w:rsidTr="004F4412">
        <w:trPr>
          <w:trHeight w:val="285"/>
        </w:trPr>
        <w:tc>
          <w:tcPr>
            <w:tcW w:w="9160" w:type="dxa"/>
            <w:tcBorders>
              <w:top w:val="nil"/>
              <w:left w:val="nil"/>
              <w:bottom w:val="single" w:sz="4" w:space="0" w:color="808080"/>
              <w:right w:val="nil"/>
            </w:tcBorders>
            <w:shd w:val="clear" w:color="000000" w:fill="FFF2CC"/>
            <w:noWrap/>
            <w:hideMark/>
          </w:tcPr>
          <w:p w14:paraId="241F3F6C" w14:textId="73D8BD0D"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 xml:space="preserve">Improving connectivity and linkages between Castle Hill and the Town Centre </w:t>
            </w:r>
          </w:p>
        </w:tc>
      </w:tr>
      <w:tr w:rsidR="004C2635" w:rsidRPr="004C2635" w14:paraId="2D36EA38" w14:textId="77777777" w:rsidTr="004F4412">
        <w:trPr>
          <w:trHeight w:val="285"/>
        </w:trPr>
        <w:tc>
          <w:tcPr>
            <w:tcW w:w="9160" w:type="dxa"/>
            <w:tcBorders>
              <w:top w:val="nil"/>
              <w:left w:val="nil"/>
              <w:bottom w:val="single" w:sz="4" w:space="0" w:color="808080"/>
              <w:right w:val="nil"/>
            </w:tcBorders>
            <w:shd w:val="clear" w:color="000000" w:fill="FFF2CC"/>
            <w:noWrap/>
            <w:hideMark/>
          </w:tcPr>
          <w:p w14:paraId="2F5A107A" w14:textId="1F1254F5"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 xml:space="preserve">Contribution to raising the profile of the area and placemaking </w:t>
            </w:r>
          </w:p>
        </w:tc>
      </w:tr>
      <w:tr w:rsidR="004C2635" w:rsidRPr="004C2635" w14:paraId="37301BA8" w14:textId="77777777" w:rsidTr="004F4412">
        <w:trPr>
          <w:trHeight w:val="285"/>
        </w:trPr>
        <w:tc>
          <w:tcPr>
            <w:tcW w:w="9160" w:type="dxa"/>
            <w:tcBorders>
              <w:top w:val="nil"/>
              <w:left w:val="nil"/>
              <w:bottom w:val="single" w:sz="4" w:space="0" w:color="808080"/>
              <w:right w:val="nil"/>
            </w:tcBorders>
            <w:shd w:val="clear" w:color="000000" w:fill="FFF2CC"/>
            <w:noWrap/>
            <w:hideMark/>
          </w:tcPr>
          <w:p w14:paraId="2EC42E47" w14:textId="6BF74DB0" w:rsidR="004C2635" w:rsidRPr="004C2635" w:rsidRDefault="004C2635" w:rsidP="004C2635">
            <w:pPr>
              <w:spacing w:after="0" w:line="240" w:lineRule="auto"/>
              <w:rPr>
                <w:rFonts w:ascii="Calibri (Body)" w:eastAsia="Times New Roman" w:hAnsi="Calibri (Body)" w:cs="Arial"/>
                <w:color w:val="000000"/>
                <w:lang w:eastAsia="en-GB"/>
              </w:rPr>
            </w:pPr>
            <w:r w:rsidRPr="008D5CC4">
              <w:rPr>
                <w:rFonts w:cstheme="minorHAnsi"/>
              </w:rPr>
              <w:t>Cross cutting themes - Covid-19 recovery; Green Growth</w:t>
            </w:r>
          </w:p>
        </w:tc>
      </w:tr>
    </w:tbl>
    <w:p w14:paraId="59887F5C" w14:textId="7FE55CF6" w:rsidR="004C2635" w:rsidRDefault="004C2635" w:rsidP="008E50C1">
      <w:pPr>
        <w:spacing w:before="120" w:after="120" w:line="240" w:lineRule="auto"/>
        <w:jc w:val="both"/>
        <w:rPr>
          <w:rFonts w:cstheme="minorHAnsi"/>
          <w:b/>
          <w:bCs/>
        </w:rPr>
      </w:pPr>
    </w:p>
    <w:p w14:paraId="1D2C3318" w14:textId="77777777" w:rsidR="00346493" w:rsidRDefault="00346493" w:rsidP="008E50C1">
      <w:pPr>
        <w:spacing w:before="120" w:after="120" w:line="240" w:lineRule="auto"/>
        <w:jc w:val="both"/>
        <w:rPr>
          <w:rFonts w:cstheme="minorHAnsi"/>
          <w:b/>
          <w:bCs/>
        </w:rPr>
      </w:pPr>
    </w:p>
    <w:p w14:paraId="632C7C1B" w14:textId="272F381D" w:rsidR="00EB40CA" w:rsidRDefault="00CA6EBB" w:rsidP="008E50C1">
      <w:pPr>
        <w:spacing w:before="120" w:after="120" w:line="240" w:lineRule="auto"/>
        <w:jc w:val="both"/>
        <w:rPr>
          <w:rFonts w:cstheme="minorHAnsi"/>
          <w:b/>
          <w:bCs/>
        </w:rPr>
      </w:pPr>
      <w:r>
        <w:rPr>
          <w:rFonts w:cstheme="minorHAnsi"/>
          <w:b/>
          <w:bCs/>
        </w:rPr>
        <w:lastRenderedPageBreak/>
        <w:t xml:space="preserve">Treasury Green Book Criteria  </w:t>
      </w:r>
    </w:p>
    <w:p w14:paraId="7A75FD78" w14:textId="29B0226B" w:rsidR="008E50C1" w:rsidRDefault="008E50C1" w:rsidP="008E50C1">
      <w:pPr>
        <w:spacing w:before="120" w:after="120" w:line="240" w:lineRule="auto"/>
        <w:jc w:val="both"/>
        <w:rPr>
          <w:rFonts w:cstheme="minorHAnsi"/>
        </w:rPr>
      </w:pPr>
      <w:r w:rsidRPr="008E50C1">
        <w:rPr>
          <w:rFonts w:cstheme="minorHAnsi"/>
        </w:rPr>
        <w:t>The second set of criteria</w:t>
      </w:r>
      <w:r w:rsidR="00CA6EBB">
        <w:rPr>
          <w:rFonts w:cstheme="minorHAnsi"/>
        </w:rPr>
        <w:t xml:space="preserve"> used in the assessment process relate to H</w:t>
      </w:r>
      <w:r w:rsidRPr="008E50C1">
        <w:rPr>
          <w:rFonts w:cstheme="minorHAnsi"/>
        </w:rPr>
        <w:t xml:space="preserve">MT Green Book guidance to help Towns consider the proposed projects' potential performance when considered by MHCLG in their appraisal. </w:t>
      </w:r>
      <w:r w:rsidR="00CA6EBB">
        <w:rPr>
          <w:rFonts w:cstheme="minorHAnsi"/>
        </w:rPr>
        <w:t>Again th</w:t>
      </w:r>
      <w:r w:rsidRPr="008E50C1">
        <w:rPr>
          <w:rFonts w:cstheme="minorHAnsi"/>
        </w:rPr>
        <w:t>ese criteria are</w:t>
      </w:r>
      <w:r w:rsidR="00CA6EBB">
        <w:rPr>
          <w:rFonts w:cstheme="minorHAnsi"/>
        </w:rPr>
        <w:t xml:space="preserve"> recommended only and can be </w:t>
      </w:r>
      <w:r w:rsidRPr="008E50C1">
        <w:rPr>
          <w:rFonts w:cstheme="minorHAnsi"/>
        </w:rPr>
        <w:t>tailored to reflect better the Towns' specific needs.</w:t>
      </w:r>
      <w:r w:rsidR="00CA6EBB">
        <w:rPr>
          <w:rFonts w:cstheme="minorHAnsi"/>
        </w:rPr>
        <w:t xml:space="preserve"> They include:</w:t>
      </w:r>
    </w:p>
    <w:tbl>
      <w:tblPr>
        <w:tblW w:w="8820" w:type="dxa"/>
        <w:tblLook w:val="04A0" w:firstRow="1" w:lastRow="0" w:firstColumn="1" w:lastColumn="0" w:noHBand="0" w:noVBand="1"/>
      </w:tblPr>
      <w:tblGrid>
        <w:gridCol w:w="8820"/>
      </w:tblGrid>
      <w:tr w:rsidR="004C2635" w:rsidRPr="004C2635" w14:paraId="7C2A612D" w14:textId="77777777" w:rsidTr="004C2635">
        <w:trPr>
          <w:trHeight w:val="285"/>
        </w:trPr>
        <w:tc>
          <w:tcPr>
            <w:tcW w:w="8820" w:type="dxa"/>
            <w:tcBorders>
              <w:top w:val="single" w:sz="4" w:space="0" w:color="808080"/>
              <w:left w:val="nil"/>
              <w:bottom w:val="single" w:sz="4" w:space="0" w:color="808080"/>
              <w:right w:val="nil"/>
            </w:tcBorders>
            <w:shd w:val="clear" w:color="000000" w:fill="FFF2CC"/>
            <w:noWrap/>
            <w:hideMark/>
          </w:tcPr>
          <w:p w14:paraId="7054B180" w14:textId="77777777" w:rsidR="004C2635" w:rsidRPr="004C2635" w:rsidRDefault="004C2635" w:rsidP="004C2635">
            <w:pPr>
              <w:spacing w:after="0" w:line="240" w:lineRule="auto"/>
              <w:rPr>
                <w:rFonts w:ascii="Calibri (Body)" w:eastAsia="Times New Roman" w:hAnsi="Calibri (Body)" w:cs="Arial"/>
                <w:color w:val="000000"/>
                <w:lang w:eastAsia="en-GB"/>
              </w:rPr>
            </w:pPr>
            <w:r w:rsidRPr="004C2635">
              <w:rPr>
                <w:rFonts w:ascii="Calibri (Body)" w:eastAsia="Times New Roman" w:hAnsi="Calibri (Body)" w:cs="Arial"/>
                <w:color w:val="000000"/>
                <w:lang w:eastAsia="en-GB"/>
              </w:rPr>
              <w:t>Value for Money (likeliness to deliver social value in terms of costs, benefits and risks)</w:t>
            </w:r>
          </w:p>
        </w:tc>
      </w:tr>
      <w:tr w:rsidR="004C2635" w:rsidRPr="004C2635" w14:paraId="027403DB" w14:textId="77777777" w:rsidTr="004C2635">
        <w:trPr>
          <w:trHeight w:val="285"/>
        </w:trPr>
        <w:tc>
          <w:tcPr>
            <w:tcW w:w="8820" w:type="dxa"/>
            <w:tcBorders>
              <w:top w:val="nil"/>
              <w:left w:val="nil"/>
              <w:bottom w:val="single" w:sz="4" w:space="0" w:color="808080"/>
              <w:right w:val="nil"/>
            </w:tcBorders>
            <w:shd w:val="clear" w:color="000000" w:fill="FFF2CC"/>
            <w:noWrap/>
            <w:hideMark/>
          </w:tcPr>
          <w:p w14:paraId="00DEE7EC" w14:textId="77777777" w:rsidR="004C2635" w:rsidRPr="004C2635" w:rsidRDefault="004C2635" w:rsidP="004C2635">
            <w:pPr>
              <w:spacing w:after="0" w:line="240" w:lineRule="auto"/>
              <w:rPr>
                <w:rFonts w:ascii="Calibri (Body)" w:eastAsia="Times New Roman" w:hAnsi="Calibri (Body)" w:cs="Arial"/>
                <w:color w:val="000000"/>
                <w:lang w:eastAsia="en-GB"/>
              </w:rPr>
            </w:pPr>
            <w:r w:rsidRPr="004C2635">
              <w:rPr>
                <w:rFonts w:ascii="Calibri (Body)" w:eastAsia="Times New Roman" w:hAnsi="Calibri (Body)" w:cs="Arial"/>
                <w:color w:val="000000"/>
                <w:lang w:eastAsia="en-GB"/>
              </w:rPr>
              <w:t>Affordability (financing and affordability given existing budgets)</w:t>
            </w:r>
          </w:p>
        </w:tc>
      </w:tr>
      <w:tr w:rsidR="004C2635" w:rsidRPr="004C2635" w14:paraId="0E71AD9F" w14:textId="77777777" w:rsidTr="004C2635">
        <w:trPr>
          <w:trHeight w:val="300"/>
        </w:trPr>
        <w:tc>
          <w:tcPr>
            <w:tcW w:w="8820" w:type="dxa"/>
            <w:tcBorders>
              <w:top w:val="nil"/>
              <w:left w:val="nil"/>
              <w:bottom w:val="single" w:sz="4" w:space="0" w:color="808080"/>
              <w:right w:val="nil"/>
            </w:tcBorders>
            <w:shd w:val="clear" w:color="000000" w:fill="FFF2CC"/>
            <w:noWrap/>
            <w:hideMark/>
          </w:tcPr>
          <w:p w14:paraId="37C4A81A" w14:textId="77777777" w:rsidR="004C2635" w:rsidRPr="004C2635" w:rsidRDefault="004C2635" w:rsidP="004C2635">
            <w:pPr>
              <w:spacing w:after="0" w:line="240" w:lineRule="auto"/>
              <w:rPr>
                <w:rFonts w:ascii="Calibri (Body)" w:eastAsia="Times New Roman" w:hAnsi="Calibri (Body)" w:cs="Arial"/>
                <w:color w:val="000000"/>
                <w:lang w:eastAsia="en-GB"/>
              </w:rPr>
            </w:pPr>
            <w:r w:rsidRPr="004C2635">
              <w:rPr>
                <w:rFonts w:ascii="Calibri (Body)" w:eastAsia="Times New Roman" w:hAnsi="Calibri (Body)" w:cs="Arial"/>
                <w:color w:val="000000"/>
                <w:lang w:eastAsia="en-GB"/>
              </w:rPr>
              <w:t>Achievability (deliverability given organisational capability and skills)</w:t>
            </w:r>
          </w:p>
        </w:tc>
      </w:tr>
      <w:tr w:rsidR="004C2635" w:rsidRPr="004C2635" w14:paraId="3D1C3647" w14:textId="77777777" w:rsidTr="004C2635">
        <w:trPr>
          <w:trHeight w:val="300"/>
        </w:trPr>
        <w:tc>
          <w:tcPr>
            <w:tcW w:w="8820" w:type="dxa"/>
            <w:tcBorders>
              <w:top w:val="nil"/>
              <w:left w:val="nil"/>
              <w:bottom w:val="single" w:sz="4" w:space="0" w:color="808080"/>
              <w:right w:val="nil"/>
            </w:tcBorders>
            <w:shd w:val="clear" w:color="000000" w:fill="FFF2CC"/>
            <w:noWrap/>
            <w:hideMark/>
          </w:tcPr>
          <w:p w14:paraId="3A1E7285" w14:textId="77777777" w:rsidR="004C2635" w:rsidRPr="004C2635" w:rsidRDefault="004C2635" w:rsidP="004C2635">
            <w:pPr>
              <w:spacing w:after="0" w:line="240" w:lineRule="auto"/>
              <w:rPr>
                <w:rFonts w:ascii="Calibri (Body)" w:eastAsia="Times New Roman" w:hAnsi="Calibri (Body)" w:cs="Arial"/>
                <w:color w:val="000000"/>
                <w:lang w:eastAsia="en-GB"/>
              </w:rPr>
            </w:pPr>
            <w:r w:rsidRPr="004C2635">
              <w:rPr>
                <w:rFonts w:ascii="Calibri (Body)" w:eastAsia="Times New Roman" w:hAnsi="Calibri (Body)" w:cs="Arial"/>
                <w:color w:val="000000"/>
                <w:lang w:eastAsia="en-GB"/>
              </w:rPr>
              <w:t>Commercial viability and feasibility of procurement</w:t>
            </w:r>
          </w:p>
        </w:tc>
      </w:tr>
      <w:tr w:rsidR="004C2635" w:rsidRPr="004C2635" w14:paraId="06F83645" w14:textId="77777777" w:rsidTr="004C2635">
        <w:trPr>
          <w:trHeight w:val="285"/>
        </w:trPr>
        <w:tc>
          <w:tcPr>
            <w:tcW w:w="8820" w:type="dxa"/>
            <w:tcBorders>
              <w:top w:val="nil"/>
              <w:left w:val="nil"/>
              <w:bottom w:val="single" w:sz="4" w:space="0" w:color="808080"/>
              <w:right w:val="nil"/>
            </w:tcBorders>
            <w:shd w:val="clear" w:color="000000" w:fill="FFF2CC"/>
            <w:noWrap/>
            <w:hideMark/>
          </w:tcPr>
          <w:p w14:paraId="7E5B1316" w14:textId="77777777" w:rsidR="004C2635" w:rsidRPr="004C2635" w:rsidRDefault="004C2635" w:rsidP="004C2635">
            <w:pPr>
              <w:spacing w:after="0" w:line="240" w:lineRule="auto"/>
              <w:rPr>
                <w:rFonts w:ascii="Calibri (Body)" w:eastAsia="Times New Roman" w:hAnsi="Calibri (Body)" w:cs="Arial"/>
                <w:color w:val="000000"/>
                <w:lang w:eastAsia="en-GB"/>
              </w:rPr>
            </w:pPr>
            <w:r w:rsidRPr="004C2635">
              <w:rPr>
                <w:rFonts w:ascii="Calibri (Body)" w:eastAsia="Times New Roman" w:hAnsi="Calibri (Body)" w:cs="Arial"/>
                <w:color w:val="000000"/>
                <w:lang w:eastAsia="en-GB"/>
              </w:rPr>
              <w:t>Stakeholder support</w:t>
            </w:r>
          </w:p>
        </w:tc>
      </w:tr>
    </w:tbl>
    <w:p w14:paraId="65B557B5" w14:textId="00F1C943" w:rsidR="00CA6EBB" w:rsidRPr="00AA7489" w:rsidRDefault="004C2635" w:rsidP="008E50C1">
      <w:pPr>
        <w:spacing w:before="120" w:after="120" w:line="240" w:lineRule="auto"/>
        <w:jc w:val="both"/>
        <w:rPr>
          <w:rFonts w:cstheme="minorHAnsi"/>
          <w:b/>
          <w:bCs/>
        </w:rPr>
      </w:pPr>
      <w:r>
        <w:rPr>
          <w:rFonts w:cstheme="minorHAnsi"/>
        </w:rPr>
        <w:t xml:space="preserve">For each set of criteria projects were scored from 1 – 5, with 1 relating to no or minimal fit or contribution to meeting sub-criteria and 5 providing a substantial fit or contribution.  The final score for each project is based on the average of the two sets of scores. No weighting has been applied to the specific criteria at </w:t>
      </w:r>
      <w:r w:rsidRPr="00AA7489">
        <w:rPr>
          <w:rFonts w:cstheme="minorHAnsi"/>
          <w:b/>
          <w:bCs/>
        </w:rPr>
        <w:t xml:space="preserve">this stage. </w:t>
      </w:r>
    </w:p>
    <w:p w14:paraId="45A65E24" w14:textId="5521F07A" w:rsidR="00F5212F" w:rsidRPr="00AA7489" w:rsidRDefault="008E50C1" w:rsidP="004C2635">
      <w:pPr>
        <w:pStyle w:val="Heading1"/>
        <w:tabs>
          <w:tab w:val="left" w:pos="720"/>
          <w:tab w:val="left" w:pos="5880"/>
        </w:tabs>
        <w:spacing w:before="120" w:after="120" w:line="240" w:lineRule="auto"/>
        <w:ind w:hanging="567"/>
        <w:jc w:val="both"/>
        <w:rPr>
          <w:rFonts w:asciiTheme="minorHAnsi" w:hAnsiTheme="minorHAnsi" w:cstheme="minorHAnsi"/>
          <w:b/>
          <w:bCs/>
          <w:color w:val="auto"/>
          <w:sz w:val="22"/>
          <w:szCs w:val="22"/>
        </w:rPr>
      </w:pPr>
      <w:r w:rsidRPr="00AA7489">
        <w:rPr>
          <w:rFonts w:asciiTheme="minorHAnsi" w:hAnsiTheme="minorHAnsi" w:cstheme="minorHAnsi"/>
          <w:b/>
          <w:bCs/>
          <w:color w:val="auto"/>
          <w:sz w:val="22"/>
          <w:szCs w:val="22"/>
        </w:rPr>
        <w:t>3</w:t>
      </w:r>
      <w:r w:rsidR="007A06F4" w:rsidRPr="00AA7489">
        <w:rPr>
          <w:rFonts w:asciiTheme="minorHAnsi" w:hAnsiTheme="minorHAnsi" w:cstheme="minorHAnsi"/>
          <w:b/>
          <w:bCs/>
          <w:color w:val="auto"/>
          <w:sz w:val="22"/>
          <w:szCs w:val="22"/>
        </w:rPr>
        <w:t xml:space="preserve">. </w:t>
      </w:r>
      <w:r w:rsidR="004C2635" w:rsidRPr="00AA7489">
        <w:rPr>
          <w:rFonts w:asciiTheme="minorHAnsi" w:hAnsiTheme="minorHAnsi" w:cstheme="minorHAnsi"/>
          <w:b/>
          <w:bCs/>
          <w:color w:val="auto"/>
          <w:sz w:val="22"/>
          <w:szCs w:val="22"/>
        </w:rPr>
        <w:tab/>
        <w:t xml:space="preserve">Assessment Results </w:t>
      </w:r>
    </w:p>
    <w:p w14:paraId="5B5D9337" w14:textId="292444AD" w:rsidR="00AA7489" w:rsidRDefault="00AA7489" w:rsidP="00AA7489">
      <w:r>
        <w:t>The</w:t>
      </w:r>
      <w:r w:rsidR="00346493">
        <w:t xml:space="preserve"> overall</w:t>
      </w:r>
      <w:r>
        <w:t xml:space="preserve"> results of the scoring process, which was carried out by AMION Consulting in conjunction with officers from Dudley Council and New Heritage Regeneration are included in the Table 1 below.</w:t>
      </w:r>
      <w:r w:rsidR="007116B2">
        <w:t xml:space="preserve"> </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68"/>
        <w:gridCol w:w="3660"/>
        <w:gridCol w:w="1289"/>
        <w:gridCol w:w="1289"/>
        <w:gridCol w:w="1290"/>
      </w:tblGrid>
      <w:tr w:rsidR="00AA7489" w14:paraId="32BEE44D" w14:textId="77777777" w:rsidTr="003C0367">
        <w:trPr>
          <w:trHeight w:val="357"/>
        </w:trPr>
        <w:tc>
          <w:tcPr>
            <w:tcW w:w="8996" w:type="dxa"/>
            <w:gridSpan w:val="5"/>
            <w:tcBorders>
              <w:top w:val="double" w:sz="4" w:space="0" w:color="auto"/>
              <w:bottom w:val="single" w:sz="6" w:space="0" w:color="auto"/>
            </w:tcBorders>
            <w:shd w:val="clear" w:color="auto" w:fill="990033"/>
          </w:tcPr>
          <w:p w14:paraId="56C08519" w14:textId="20F9C1CF" w:rsidR="00AA7489" w:rsidRPr="003C0367" w:rsidRDefault="00AA7489" w:rsidP="004C2635">
            <w:pPr>
              <w:rPr>
                <w:rFonts w:cstheme="minorHAnsi"/>
                <w:b/>
                <w:bCs/>
                <w:sz w:val="20"/>
                <w:szCs w:val="20"/>
              </w:rPr>
            </w:pPr>
            <w:r w:rsidRPr="003C0367">
              <w:rPr>
                <w:rFonts w:cstheme="minorHAnsi"/>
                <w:b/>
                <w:bCs/>
                <w:sz w:val="20"/>
                <w:szCs w:val="20"/>
              </w:rPr>
              <w:t xml:space="preserve">Table 1: Dudley Project Prioritisation - summary of results  </w:t>
            </w:r>
          </w:p>
        </w:tc>
      </w:tr>
      <w:tr w:rsidR="003C0367" w14:paraId="745D1F1A" w14:textId="77777777" w:rsidTr="003C0367">
        <w:tc>
          <w:tcPr>
            <w:tcW w:w="1468" w:type="dxa"/>
            <w:tcBorders>
              <w:top w:val="single" w:sz="6" w:space="0" w:color="auto"/>
              <w:bottom w:val="single" w:sz="6" w:space="0" w:color="auto"/>
            </w:tcBorders>
            <w:shd w:val="clear" w:color="auto" w:fill="D9D9D9" w:themeFill="background1" w:themeFillShade="D9"/>
          </w:tcPr>
          <w:p w14:paraId="56D4B9D9" w14:textId="7B59D3F8" w:rsidR="007116B2" w:rsidRPr="003C0367" w:rsidRDefault="007116B2" w:rsidP="007116B2">
            <w:pPr>
              <w:rPr>
                <w:rFonts w:cstheme="minorHAnsi"/>
                <w:b/>
                <w:bCs/>
                <w:sz w:val="20"/>
                <w:szCs w:val="20"/>
              </w:rPr>
            </w:pPr>
            <w:r w:rsidRPr="003C0367">
              <w:rPr>
                <w:rFonts w:cstheme="minorHAnsi"/>
                <w:b/>
                <w:bCs/>
                <w:sz w:val="20"/>
                <w:szCs w:val="20"/>
              </w:rPr>
              <w:t>P</w:t>
            </w:r>
            <w:r w:rsidR="003C0367" w:rsidRPr="003C0367">
              <w:rPr>
                <w:rFonts w:cstheme="minorHAnsi"/>
                <w:b/>
                <w:bCs/>
                <w:sz w:val="20"/>
                <w:szCs w:val="20"/>
              </w:rPr>
              <w:t xml:space="preserve">roject Name </w:t>
            </w:r>
          </w:p>
        </w:tc>
        <w:tc>
          <w:tcPr>
            <w:tcW w:w="3660" w:type="dxa"/>
            <w:tcBorders>
              <w:top w:val="single" w:sz="6" w:space="0" w:color="auto"/>
              <w:bottom w:val="single" w:sz="6" w:space="0" w:color="auto"/>
            </w:tcBorders>
            <w:shd w:val="clear" w:color="auto" w:fill="D9D9D9" w:themeFill="background1" w:themeFillShade="D9"/>
          </w:tcPr>
          <w:p w14:paraId="39EA9B9D" w14:textId="22D510B8" w:rsidR="007116B2" w:rsidRPr="003C0367" w:rsidRDefault="003C0367" w:rsidP="007116B2">
            <w:pPr>
              <w:rPr>
                <w:rFonts w:cstheme="minorHAnsi"/>
                <w:b/>
                <w:bCs/>
                <w:sz w:val="20"/>
                <w:szCs w:val="20"/>
              </w:rPr>
            </w:pPr>
            <w:r w:rsidRPr="003C0367">
              <w:rPr>
                <w:rFonts w:cstheme="minorHAnsi"/>
                <w:b/>
                <w:bCs/>
                <w:sz w:val="20"/>
                <w:szCs w:val="20"/>
              </w:rPr>
              <w:t xml:space="preserve">Description </w:t>
            </w:r>
          </w:p>
        </w:tc>
        <w:tc>
          <w:tcPr>
            <w:tcW w:w="1289" w:type="dxa"/>
            <w:tcBorders>
              <w:top w:val="single" w:sz="6" w:space="0" w:color="auto"/>
              <w:bottom w:val="single" w:sz="6" w:space="0" w:color="auto"/>
            </w:tcBorders>
            <w:shd w:val="clear" w:color="auto" w:fill="D9D9D9" w:themeFill="background1" w:themeFillShade="D9"/>
            <w:vAlign w:val="center"/>
          </w:tcPr>
          <w:p w14:paraId="7860B172" w14:textId="61050CDC" w:rsidR="007116B2" w:rsidRPr="003C0367" w:rsidRDefault="003C0367" w:rsidP="003C0367">
            <w:pPr>
              <w:jc w:val="center"/>
              <w:rPr>
                <w:rFonts w:cstheme="minorHAnsi"/>
                <w:b/>
                <w:bCs/>
                <w:sz w:val="18"/>
                <w:szCs w:val="18"/>
              </w:rPr>
            </w:pPr>
            <w:r w:rsidRPr="003C0367">
              <w:rPr>
                <w:rFonts w:ascii="Calibri (Body)" w:hAnsi="Calibri (Body)" w:cs="Arial"/>
                <w:b/>
                <w:bCs/>
                <w:sz w:val="18"/>
                <w:szCs w:val="18"/>
              </w:rPr>
              <w:t xml:space="preserve">Overall assessment score </w:t>
            </w:r>
          </w:p>
        </w:tc>
        <w:tc>
          <w:tcPr>
            <w:tcW w:w="1289" w:type="dxa"/>
            <w:tcBorders>
              <w:top w:val="single" w:sz="6" w:space="0" w:color="auto"/>
              <w:bottom w:val="single" w:sz="6" w:space="0" w:color="auto"/>
            </w:tcBorders>
            <w:shd w:val="clear" w:color="auto" w:fill="D9D9D9" w:themeFill="background1" w:themeFillShade="D9"/>
            <w:vAlign w:val="center"/>
          </w:tcPr>
          <w:p w14:paraId="30845355" w14:textId="22F9736A" w:rsidR="007116B2" w:rsidRPr="003C0367" w:rsidRDefault="003C0367" w:rsidP="003C0367">
            <w:pPr>
              <w:jc w:val="center"/>
              <w:rPr>
                <w:rFonts w:cstheme="minorHAnsi"/>
                <w:b/>
                <w:bCs/>
                <w:sz w:val="18"/>
                <w:szCs w:val="18"/>
              </w:rPr>
            </w:pPr>
            <w:r w:rsidRPr="003C0367">
              <w:rPr>
                <w:rFonts w:ascii="Calibri (Body)" w:hAnsi="Calibri (Body)" w:cs="Arial"/>
                <w:b/>
                <w:bCs/>
                <w:sz w:val="18"/>
                <w:szCs w:val="18"/>
              </w:rPr>
              <w:t xml:space="preserve">Towns Specific Criteria </w:t>
            </w:r>
          </w:p>
        </w:tc>
        <w:tc>
          <w:tcPr>
            <w:tcW w:w="1290" w:type="dxa"/>
            <w:tcBorders>
              <w:top w:val="single" w:sz="6" w:space="0" w:color="auto"/>
              <w:bottom w:val="single" w:sz="6" w:space="0" w:color="auto"/>
            </w:tcBorders>
            <w:shd w:val="clear" w:color="auto" w:fill="D9D9D9" w:themeFill="background1" w:themeFillShade="D9"/>
            <w:vAlign w:val="center"/>
          </w:tcPr>
          <w:p w14:paraId="5F7DB387" w14:textId="7259CDD8" w:rsidR="007116B2" w:rsidRPr="003C0367" w:rsidRDefault="007116B2" w:rsidP="003C0367">
            <w:pPr>
              <w:jc w:val="center"/>
              <w:rPr>
                <w:rFonts w:cstheme="minorHAnsi"/>
                <w:b/>
                <w:bCs/>
                <w:sz w:val="18"/>
                <w:szCs w:val="18"/>
              </w:rPr>
            </w:pPr>
            <w:r w:rsidRPr="003C0367">
              <w:rPr>
                <w:rFonts w:ascii="Calibri (Body)" w:hAnsi="Calibri (Body)" w:cs="Arial"/>
                <w:b/>
                <w:bCs/>
                <w:sz w:val="18"/>
                <w:szCs w:val="18"/>
              </w:rPr>
              <w:t>HMT</w:t>
            </w:r>
            <w:r w:rsidR="003C0367" w:rsidRPr="003C0367">
              <w:rPr>
                <w:rFonts w:ascii="Calibri (Body)" w:hAnsi="Calibri (Body)" w:cs="Arial"/>
                <w:b/>
                <w:bCs/>
                <w:sz w:val="18"/>
                <w:szCs w:val="18"/>
              </w:rPr>
              <w:t xml:space="preserve"> Green Book appraisal Criteria </w:t>
            </w:r>
          </w:p>
        </w:tc>
      </w:tr>
      <w:tr w:rsidR="003C0367" w14:paraId="771C5F32" w14:textId="77777777" w:rsidTr="003C0367">
        <w:tc>
          <w:tcPr>
            <w:tcW w:w="1468" w:type="dxa"/>
            <w:tcBorders>
              <w:top w:val="single" w:sz="6" w:space="0" w:color="auto"/>
            </w:tcBorders>
          </w:tcPr>
          <w:p w14:paraId="337F1937" w14:textId="060F2ABC" w:rsidR="007116B2" w:rsidRPr="007116B2" w:rsidRDefault="007116B2" w:rsidP="007116B2">
            <w:pPr>
              <w:rPr>
                <w:rFonts w:cstheme="minorHAnsi"/>
                <w:sz w:val="20"/>
                <w:szCs w:val="20"/>
              </w:rPr>
            </w:pPr>
            <w:r w:rsidRPr="007116B2">
              <w:rPr>
                <w:rFonts w:cstheme="minorHAnsi"/>
                <w:color w:val="000000"/>
                <w:sz w:val="20"/>
                <w:szCs w:val="20"/>
              </w:rPr>
              <w:t xml:space="preserve">University Campus </w:t>
            </w:r>
          </w:p>
        </w:tc>
        <w:tc>
          <w:tcPr>
            <w:tcW w:w="3660" w:type="dxa"/>
            <w:tcBorders>
              <w:top w:val="single" w:sz="6" w:space="0" w:color="auto"/>
            </w:tcBorders>
          </w:tcPr>
          <w:p w14:paraId="2DF714B2" w14:textId="0EE71D94" w:rsidR="007116B2" w:rsidRPr="007116B2" w:rsidRDefault="007116B2" w:rsidP="007116B2">
            <w:pPr>
              <w:rPr>
                <w:rFonts w:cstheme="minorHAnsi"/>
                <w:sz w:val="20"/>
                <w:szCs w:val="20"/>
              </w:rPr>
            </w:pPr>
            <w:r w:rsidRPr="007116B2">
              <w:rPr>
                <w:rFonts w:cstheme="minorHAnsi"/>
                <w:color w:val="000000"/>
                <w:sz w:val="20"/>
                <w:szCs w:val="20"/>
              </w:rPr>
              <w:t>Establishment of a new University Centre in Castle Hill on the site of the former Hippodrome - providing HE for new and existing students in the Town and facilities for the Community</w:t>
            </w:r>
          </w:p>
        </w:tc>
        <w:tc>
          <w:tcPr>
            <w:tcW w:w="1289" w:type="dxa"/>
            <w:tcBorders>
              <w:top w:val="single" w:sz="6" w:space="0" w:color="auto"/>
            </w:tcBorders>
            <w:vAlign w:val="center"/>
          </w:tcPr>
          <w:p w14:paraId="7AE1AF9A" w14:textId="60A36116" w:rsidR="007116B2" w:rsidRPr="003C0367" w:rsidRDefault="007116B2" w:rsidP="003C0367">
            <w:pPr>
              <w:jc w:val="center"/>
              <w:rPr>
                <w:rFonts w:cstheme="minorHAnsi"/>
                <w:sz w:val="20"/>
                <w:szCs w:val="20"/>
              </w:rPr>
            </w:pPr>
            <w:r w:rsidRPr="003C0367">
              <w:rPr>
                <w:rFonts w:cstheme="minorHAnsi"/>
                <w:b/>
                <w:bCs/>
                <w:color w:val="000000"/>
              </w:rPr>
              <w:t>80%</w:t>
            </w:r>
          </w:p>
        </w:tc>
        <w:tc>
          <w:tcPr>
            <w:tcW w:w="1289" w:type="dxa"/>
            <w:tcBorders>
              <w:top w:val="single" w:sz="6" w:space="0" w:color="auto"/>
            </w:tcBorders>
            <w:vAlign w:val="center"/>
          </w:tcPr>
          <w:p w14:paraId="3F1A96F7" w14:textId="7DCA00CC" w:rsidR="007116B2" w:rsidRPr="003C0367" w:rsidRDefault="007116B2" w:rsidP="003C0367">
            <w:pPr>
              <w:jc w:val="center"/>
              <w:rPr>
                <w:rFonts w:cstheme="minorHAnsi"/>
                <w:sz w:val="20"/>
                <w:szCs w:val="20"/>
              </w:rPr>
            </w:pPr>
            <w:r w:rsidRPr="003C0367">
              <w:rPr>
                <w:rFonts w:cstheme="minorHAnsi"/>
                <w:color w:val="000000"/>
              </w:rPr>
              <w:t>89%</w:t>
            </w:r>
          </w:p>
        </w:tc>
        <w:tc>
          <w:tcPr>
            <w:tcW w:w="1290" w:type="dxa"/>
            <w:tcBorders>
              <w:top w:val="single" w:sz="6" w:space="0" w:color="auto"/>
            </w:tcBorders>
            <w:vAlign w:val="center"/>
          </w:tcPr>
          <w:p w14:paraId="7A1E4A7C" w14:textId="2086D253" w:rsidR="007116B2" w:rsidRPr="003C0367" w:rsidRDefault="007116B2" w:rsidP="003C0367">
            <w:pPr>
              <w:jc w:val="center"/>
              <w:rPr>
                <w:rFonts w:cstheme="minorHAnsi"/>
                <w:sz w:val="20"/>
                <w:szCs w:val="20"/>
              </w:rPr>
            </w:pPr>
            <w:r w:rsidRPr="003C0367">
              <w:rPr>
                <w:rFonts w:cstheme="minorHAnsi"/>
                <w:color w:val="000000"/>
              </w:rPr>
              <w:t>72%</w:t>
            </w:r>
          </w:p>
        </w:tc>
      </w:tr>
      <w:tr w:rsidR="003C0367" w14:paraId="25271919" w14:textId="77777777" w:rsidTr="003C0367">
        <w:tc>
          <w:tcPr>
            <w:tcW w:w="1468" w:type="dxa"/>
          </w:tcPr>
          <w:p w14:paraId="167CED97" w14:textId="536681D8" w:rsidR="007116B2" w:rsidRPr="007116B2" w:rsidRDefault="007116B2" w:rsidP="007116B2">
            <w:pPr>
              <w:rPr>
                <w:rFonts w:cstheme="minorHAnsi"/>
                <w:sz w:val="20"/>
                <w:szCs w:val="20"/>
              </w:rPr>
            </w:pPr>
            <w:r w:rsidRPr="007116B2">
              <w:rPr>
                <w:rFonts w:cstheme="minorHAnsi"/>
                <w:color w:val="000000"/>
                <w:sz w:val="20"/>
                <w:szCs w:val="20"/>
              </w:rPr>
              <w:t xml:space="preserve">Dudley Placemaking </w:t>
            </w:r>
          </w:p>
        </w:tc>
        <w:tc>
          <w:tcPr>
            <w:tcW w:w="3660" w:type="dxa"/>
          </w:tcPr>
          <w:p w14:paraId="51B36709" w14:textId="1E901576" w:rsidR="007116B2" w:rsidRPr="007116B2" w:rsidRDefault="007116B2" w:rsidP="007116B2">
            <w:pPr>
              <w:rPr>
                <w:rFonts w:cstheme="minorHAnsi"/>
                <w:sz w:val="20"/>
                <w:szCs w:val="20"/>
              </w:rPr>
            </w:pPr>
            <w:r w:rsidRPr="007116B2">
              <w:rPr>
                <w:rFonts w:cstheme="minorHAnsi"/>
                <w:color w:val="000000"/>
                <w:sz w:val="20"/>
                <w:szCs w:val="20"/>
              </w:rPr>
              <w:t>Public Realm improvements in and around the Castle Hill and Town Centre - including new public space, improved pedestrian/cycle routes, and enhanced signage</w:t>
            </w:r>
          </w:p>
        </w:tc>
        <w:tc>
          <w:tcPr>
            <w:tcW w:w="1289" w:type="dxa"/>
            <w:vAlign w:val="center"/>
          </w:tcPr>
          <w:p w14:paraId="6A84B269" w14:textId="76D06826" w:rsidR="007116B2" w:rsidRPr="003C0367" w:rsidRDefault="007116B2" w:rsidP="003C0367">
            <w:pPr>
              <w:jc w:val="center"/>
              <w:rPr>
                <w:rFonts w:cstheme="minorHAnsi"/>
                <w:sz w:val="20"/>
                <w:szCs w:val="20"/>
              </w:rPr>
            </w:pPr>
            <w:r w:rsidRPr="003C0367">
              <w:rPr>
                <w:rFonts w:cstheme="minorHAnsi"/>
                <w:b/>
                <w:bCs/>
                <w:color w:val="000000"/>
              </w:rPr>
              <w:t>70%</w:t>
            </w:r>
          </w:p>
        </w:tc>
        <w:tc>
          <w:tcPr>
            <w:tcW w:w="1289" w:type="dxa"/>
            <w:vAlign w:val="center"/>
          </w:tcPr>
          <w:p w14:paraId="7FBD66CB" w14:textId="498D9EC0" w:rsidR="007116B2" w:rsidRPr="003C0367" w:rsidRDefault="007116B2" w:rsidP="003C0367">
            <w:pPr>
              <w:jc w:val="center"/>
              <w:rPr>
                <w:rFonts w:cstheme="minorHAnsi"/>
                <w:sz w:val="20"/>
                <w:szCs w:val="20"/>
              </w:rPr>
            </w:pPr>
            <w:r w:rsidRPr="003C0367">
              <w:rPr>
                <w:rFonts w:cstheme="minorHAnsi"/>
                <w:color w:val="000000"/>
              </w:rPr>
              <w:t>60%</w:t>
            </w:r>
          </w:p>
        </w:tc>
        <w:tc>
          <w:tcPr>
            <w:tcW w:w="1290" w:type="dxa"/>
            <w:vAlign w:val="center"/>
          </w:tcPr>
          <w:p w14:paraId="201D753B" w14:textId="6F3F6C6D" w:rsidR="007116B2" w:rsidRPr="003C0367" w:rsidRDefault="007116B2" w:rsidP="003C0367">
            <w:pPr>
              <w:jc w:val="center"/>
              <w:rPr>
                <w:rFonts w:cstheme="minorHAnsi"/>
                <w:sz w:val="20"/>
                <w:szCs w:val="20"/>
              </w:rPr>
            </w:pPr>
            <w:r w:rsidRPr="003C0367">
              <w:rPr>
                <w:rFonts w:cstheme="minorHAnsi"/>
                <w:color w:val="000000"/>
              </w:rPr>
              <w:t>80%</w:t>
            </w:r>
          </w:p>
        </w:tc>
      </w:tr>
      <w:tr w:rsidR="003C0367" w14:paraId="00A19D31" w14:textId="77777777" w:rsidTr="003C0367">
        <w:tc>
          <w:tcPr>
            <w:tcW w:w="1468" w:type="dxa"/>
          </w:tcPr>
          <w:p w14:paraId="67FAA48E" w14:textId="1894091D" w:rsidR="007116B2" w:rsidRPr="007116B2" w:rsidRDefault="007116B2" w:rsidP="007116B2">
            <w:pPr>
              <w:rPr>
                <w:rFonts w:cstheme="minorHAnsi"/>
                <w:sz w:val="20"/>
                <w:szCs w:val="20"/>
              </w:rPr>
            </w:pPr>
            <w:r w:rsidRPr="007116B2">
              <w:rPr>
                <w:rFonts w:cstheme="minorHAnsi"/>
                <w:color w:val="000000"/>
                <w:sz w:val="20"/>
                <w:szCs w:val="20"/>
              </w:rPr>
              <w:t>Castle Hill Phase 2</w:t>
            </w:r>
          </w:p>
        </w:tc>
        <w:tc>
          <w:tcPr>
            <w:tcW w:w="3660" w:type="dxa"/>
          </w:tcPr>
          <w:p w14:paraId="1587B893" w14:textId="022E6EB0" w:rsidR="007116B2" w:rsidRPr="007116B2" w:rsidRDefault="007116B2" w:rsidP="007116B2">
            <w:pPr>
              <w:rPr>
                <w:rFonts w:cstheme="minorHAnsi"/>
                <w:sz w:val="20"/>
                <w:szCs w:val="20"/>
              </w:rPr>
            </w:pPr>
            <w:r w:rsidRPr="007116B2">
              <w:rPr>
                <w:rFonts w:cstheme="minorHAnsi"/>
                <w:color w:val="000000"/>
                <w:sz w:val="20"/>
                <w:szCs w:val="20"/>
              </w:rPr>
              <w:t>Improvements and investments to the castle, zoo and Castle Hill Woodland. New Vision document outlines eight key projects including: the castle; visitor and education facility; stores cavern mine; lodge; giraffe house; Tecton buildings; woodlands; and southern gateway.</w:t>
            </w:r>
          </w:p>
        </w:tc>
        <w:tc>
          <w:tcPr>
            <w:tcW w:w="1289" w:type="dxa"/>
            <w:vAlign w:val="center"/>
          </w:tcPr>
          <w:p w14:paraId="12C0A2D7" w14:textId="34386DDF" w:rsidR="007116B2" w:rsidRPr="003C0367" w:rsidRDefault="007116B2" w:rsidP="003C0367">
            <w:pPr>
              <w:jc w:val="center"/>
              <w:rPr>
                <w:rFonts w:cstheme="minorHAnsi"/>
                <w:sz w:val="20"/>
                <w:szCs w:val="20"/>
              </w:rPr>
            </w:pPr>
            <w:r w:rsidRPr="003C0367">
              <w:rPr>
                <w:rFonts w:cstheme="minorHAnsi"/>
                <w:b/>
                <w:bCs/>
                <w:color w:val="000000"/>
              </w:rPr>
              <w:t>68%</w:t>
            </w:r>
          </w:p>
        </w:tc>
        <w:tc>
          <w:tcPr>
            <w:tcW w:w="1289" w:type="dxa"/>
            <w:vAlign w:val="center"/>
          </w:tcPr>
          <w:p w14:paraId="0333D7DE" w14:textId="59100357" w:rsidR="007116B2" w:rsidRPr="003C0367" w:rsidRDefault="007116B2" w:rsidP="003C0367">
            <w:pPr>
              <w:jc w:val="center"/>
              <w:rPr>
                <w:rFonts w:cstheme="minorHAnsi"/>
                <w:sz w:val="20"/>
                <w:szCs w:val="20"/>
              </w:rPr>
            </w:pPr>
            <w:r w:rsidRPr="003C0367">
              <w:rPr>
                <w:rFonts w:cstheme="minorHAnsi"/>
                <w:color w:val="000000"/>
              </w:rPr>
              <w:t>76%</w:t>
            </w:r>
          </w:p>
        </w:tc>
        <w:tc>
          <w:tcPr>
            <w:tcW w:w="1290" w:type="dxa"/>
            <w:vAlign w:val="center"/>
          </w:tcPr>
          <w:p w14:paraId="76ED173E" w14:textId="6F2F8D3A" w:rsidR="007116B2" w:rsidRPr="003C0367" w:rsidRDefault="007116B2" w:rsidP="003C0367">
            <w:pPr>
              <w:jc w:val="center"/>
              <w:rPr>
                <w:rFonts w:cstheme="minorHAnsi"/>
                <w:sz w:val="20"/>
                <w:szCs w:val="20"/>
              </w:rPr>
            </w:pPr>
            <w:r w:rsidRPr="003C0367">
              <w:rPr>
                <w:rFonts w:cstheme="minorHAnsi"/>
                <w:color w:val="000000"/>
              </w:rPr>
              <w:t>60%</w:t>
            </w:r>
          </w:p>
        </w:tc>
      </w:tr>
      <w:tr w:rsidR="003C0367" w14:paraId="5FE5F11A" w14:textId="77777777" w:rsidTr="003C0367">
        <w:tc>
          <w:tcPr>
            <w:tcW w:w="1468" w:type="dxa"/>
          </w:tcPr>
          <w:p w14:paraId="531807FD" w14:textId="4A58FE8C" w:rsidR="007116B2" w:rsidRPr="007116B2" w:rsidRDefault="007116B2" w:rsidP="007116B2">
            <w:pPr>
              <w:rPr>
                <w:rFonts w:cstheme="minorHAnsi"/>
                <w:sz w:val="20"/>
                <w:szCs w:val="20"/>
              </w:rPr>
            </w:pPr>
            <w:r w:rsidRPr="007116B2">
              <w:rPr>
                <w:rFonts w:cstheme="minorHAnsi"/>
                <w:color w:val="000000"/>
                <w:sz w:val="20"/>
                <w:szCs w:val="20"/>
              </w:rPr>
              <w:t xml:space="preserve">Dudley Interchange </w:t>
            </w:r>
          </w:p>
        </w:tc>
        <w:tc>
          <w:tcPr>
            <w:tcW w:w="3660" w:type="dxa"/>
          </w:tcPr>
          <w:p w14:paraId="5BF74EAD" w14:textId="3E1BE040" w:rsidR="003C0367" w:rsidRPr="007116B2" w:rsidRDefault="007228D2" w:rsidP="007228D2">
            <w:pPr>
              <w:rPr>
                <w:rFonts w:cstheme="minorHAnsi"/>
                <w:sz w:val="20"/>
                <w:szCs w:val="20"/>
              </w:rPr>
            </w:pPr>
            <w:r>
              <w:rPr>
                <w:rFonts w:cstheme="minorHAnsi"/>
                <w:color w:val="000000"/>
                <w:sz w:val="20"/>
                <w:szCs w:val="20"/>
              </w:rPr>
              <w:t>Redevelopment of the bus interchange to create a world class m</w:t>
            </w:r>
            <w:r w:rsidR="007116B2" w:rsidRPr="007116B2">
              <w:rPr>
                <w:rFonts w:cstheme="minorHAnsi"/>
                <w:color w:val="000000"/>
                <w:sz w:val="20"/>
                <w:szCs w:val="20"/>
              </w:rPr>
              <w:t>ultimodal</w:t>
            </w:r>
            <w:r>
              <w:rPr>
                <w:rFonts w:cstheme="minorHAnsi"/>
                <w:color w:val="000000"/>
                <w:sz w:val="20"/>
                <w:szCs w:val="20"/>
              </w:rPr>
              <w:t xml:space="preserve"> facility to improve facilities, passenger information; satisfaction; segregation of passenger and vehicular movements; commercial opportunities and sustainability.</w:t>
            </w:r>
          </w:p>
        </w:tc>
        <w:tc>
          <w:tcPr>
            <w:tcW w:w="1289" w:type="dxa"/>
            <w:vAlign w:val="center"/>
          </w:tcPr>
          <w:p w14:paraId="39921904" w14:textId="73DBC56C" w:rsidR="007116B2" w:rsidRPr="003C0367" w:rsidRDefault="007116B2" w:rsidP="003C0367">
            <w:pPr>
              <w:jc w:val="center"/>
              <w:rPr>
                <w:rFonts w:cstheme="minorHAnsi"/>
                <w:sz w:val="20"/>
                <w:szCs w:val="20"/>
              </w:rPr>
            </w:pPr>
            <w:r w:rsidRPr="003C0367">
              <w:rPr>
                <w:rFonts w:cstheme="minorHAnsi"/>
                <w:b/>
                <w:bCs/>
                <w:color w:val="000000"/>
              </w:rPr>
              <w:t>66%</w:t>
            </w:r>
          </w:p>
        </w:tc>
        <w:tc>
          <w:tcPr>
            <w:tcW w:w="1289" w:type="dxa"/>
            <w:vAlign w:val="center"/>
          </w:tcPr>
          <w:p w14:paraId="34D683F3" w14:textId="565D0768" w:rsidR="007116B2" w:rsidRPr="003C0367" w:rsidRDefault="007116B2" w:rsidP="003C0367">
            <w:pPr>
              <w:jc w:val="center"/>
              <w:rPr>
                <w:rFonts w:cstheme="minorHAnsi"/>
                <w:sz w:val="20"/>
                <w:szCs w:val="20"/>
              </w:rPr>
            </w:pPr>
            <w:r w:rsidRPr="003C0367">
              <w:rPr>
                <w:rFonts w:cstheme="minorHAnsi"/>
                <w:color w:val="000000"/>
              </w:rPr>
              <w:t>64%</w:t>
            </w:r>
          </w:p>
        </w:tc>
        <w:tc>
          <w:tcPr>
            <w:tcW w:w="1290" w:type="dxa"/>
            <w:vAlign w:val="center"/>
          </w:tcPr>
          <w:p w14:paraId="2490BE6C" w14:textId="0E49DF30" w:rsidR="007116B2" w:rsidRPr="003C0367" w:rsidRDefault="007116B2" w:rsidP="003C0367">
            <w:pPr>
              <w:jc w:val="center"/>
              <w:rPr>
                <w:rFonts w:cstheme="minorHAnsi"/>
                <w:sz w:val="20"/>
                <w:szCs w:val="20"/>
              </w:rPr>
            </w:pPr>
            <w:r w:rsidRPr="003C0367">
              <w:rPr>
                <w:rFonts w:cstheme="minorHAnsi"/>
                <w:color w:val="000000"/>
              </w:rPr>
              <w:t>68%</w:t>
            </w:r>
          </w:p>
        </w:tc>
      </w:tr>
      <w:tr w:rsidR="003C0367" w14:paraId="1DFCB352" w14:textId="77777777" w:rsidTr="003C0367">
        <w:tc>
          <w:tcPr>
            <w:tcW w:w="1468" w:type="dxa"/>
          </w:tcPr>
          <w:p w14:paraId="135F514F" w14:textId="13E44FF6" w:rsidR="007116B2" w:rsidRPr="007116B2" w:rsidRDefault="007116B2" w:rsidP="007116B2">
            <w:pPr>
              <w:rPr>
                <w:rFonts w:cstheme="minorHAnsi"/>
                <w:sz w:val="20"/>
                <w:szCs w:val="20"/>
              </w:rPr>
            </w:pPr>
            <w:r w:rsidRPr="007116B2">
              <w:rPr>
                <w:rFonts w:cstheme="minorHAnsi"/>
                <w:color w:val="000000"/>
                <w:sz w:val="20"/>
                <w:szCs w:val="20"/>
              </w:rPr>
              <w:t xml:space="preserve">Portersfield </w:t>
            </w:r>
          </w:p>
        </w:tc>
        <w:tc>
          <w:tcPr>
            <w:tcW w:w="3660" w:type="dxa"/>
          </w:tcPr>
          <w:p w14:paraId="4ABEF587" w14:textId="38DC4591" w:rsidR="007116B2" w:rsidRPr="007116B2" w:rsidRDefault="007116B2" w:rsidP="007116B2">
            <w:pPr>
              <w:rPr>
                <w:rFonts w:cstheme="minorHAnsi"/>
                <w:sz w:val="20"/>
                <w:szCs w:val="20"/>
              </w:rPr>
            </w:pPr>
            <w:r w:rsidRPr="007116B2">
              <w:rPr>
                <w:rFonts w:cstheme="minorHAnsi"/>
                <w:color w:val="000000"/>
                <w:sz w:val="20"/>
                <w:szCs w:val="20"/>
              </w:rPr>
              <w:t xml:space="preserve">This regeneration scheme, which has received £82 million private investment </w:t>
            </w:r>
            <w:r w:rsidRPr="007116B2">
              <w:rPr>
                <w:rFonts w:cstheme="minorHAnsi"/>
                <w:color w:val="000000"/>
                <w:sz w:val="20"/>
                <w:szCs w:val="20"/>
              </w:rPr>
              <w:lastRenderedPageBreak/>
              <w:t>and WMCA funding, offers retail and residential opportunities in central Dudley and will create up to 500 jobs and 400 apartments.</w:t>
            </w:r>
          </w:p>
        </w:tc>
        <w:tc>
          <w:tcPr>
            <w:tcW w:w="1289" w:type="dxa"/>
            <w:vAlign w:val="center"/>
          </w:tcPr>
          <w:p w14:paraId="1ADE0DDE" w14:textId="5131B007" w:rsidR="007116B2" w:rsidRPr="003C0367" w:rsidRDefault="007116B2" w:rsidP="003C0367">
            <w:pPr>
              <w:jc w:val="center"/>
              <w:rPr>
                <w:rFonts w:cstheme="minorHAnsi"/>
                <w:sz w:val="20"/>
                <w:szCs w:val="20"/>
              </w:rPr>
            </w:pPr>
            <w:r w:rsidRPr="003C0367">
              <w:rPr>
                <w:rFonts w:cstheme="minorHAnsi"/>
                <w:b/>
                <w:bCs/>
                <w:color w:val="000000"/>
              </w:rPr>
              <w:lastRenderedPageBreak/>
              <w:t>65%</w:t>
            </w:r>
          </w:p>
        </w:tc>
        <w:tc>
          <w:tcPr>
            <w:tcW w:w="1289" w:type="dxa"/>
            <w:vAlign w:val="center"/>
          </w:tcPr>
          <w:p w14:paraId="53C6BE9C" w14:textId="49F202B6" w:rsidR="007116B2" w:rsidRPr="003C0367" w:rsidRDefault="007116B2" w:rsidP="003C0367">
            <w:pPr>
              <w:jc w:val="center"/>
              <w:rPr>
                <w:rFonts w:cstheme="minorHAnsi"/>
                <w:sz w:val="20"/>
                <w:szCs w:val="20"/>
              </w:rPr>
            </w:pPr>
            <w:r w:rsidRPr="003C0367">
              <w:rPr>
                <w:rFonts w:cstheme="minorHAnsi"/>
                <w:color w:val="000000"/>
              </w:rPr>
              <w:t>62%</w:t>
            </w:r>
          </w:p>
        </w:tc>
        <w:tc>
          <w:tcPr>
            <w:tcW w:w="1290" w:type="dxa"/>
            <w:vAlign w:val="center"/>
          </w:tcPr>
          <w:p w14:paraId="0A8B5306" w14:textId="4303E451" w:rsidR="007116B2" w:rsidRPr="003C0367" w:rsidRDefault="007116B2" w:rsidP="003C0367">
            <w:pPr>
              <w:jc w:val="center"/>
              <w:rPr>
                <w:rFonts w:cstheme="minorHAnsi"/>
                <w:sz w:val="20"/>
                <w:szCs w:val="20"/>
              </w:rPr>
            </w:pPr>
            <w:r w:rsidRPr="003C0367">
              <w:rPr>
                <w:rFonts w:cstheme="minorHAnsi"/>
                <w:color w:val="000000"/>
              </w:rPr>
              <w:t>68%</w:t>
            </w:r>
          </w:p>
        </w:tc>
      </w:tr>
      <w:tr w:rsidR="003C0367" w14:paraId="1755B998" w14:textId="77777777" w:rsidTr="003C0367">
        <w:tc>
          <w:tcPr>
            <w:tcW w:w="1468" w:type="dxa"/>
          </w:tcPr>
          <w:p w14:paraId="027815BA" w14:textId="273A8769" w:rsidR="007116B2" w:rsidRPr="007116B2" w:rsidRDefault="007116B2" w:rsidP="007116B2">
            <w:pPr>
              <w:rPr>
                <w:rFonts w:cstheme="minorHAnsi"/>
                <w:sz w:val="20"/>
                <w:szCs w:val="20"/>
              </w:rPr>
            </w:pPr>
            <w:r w:rsidRPr="007116B2">
              <w:rPr>
                <w:rFonts w:cstheme="minorHAnsi"/>
                <w:color w:val="000000"/>
                <w:sz w:val="20"/>
                <w:szCs w:val="20"/>
              </w:rPr>
              <w:t xml:space="preserve">Churchill </w:t>
            </w:r>
            <w:r w:rsidR="00346493">
              <w:rPr>
                <w:rFonts w:cstheme="minorHAnsi"/>
                <w:color w:val="000000"/>
                <w:sz w:val="20"/>
                <w:szCs w:val="20"/>
              </w:rPr>
              <w:t xml:space="preserve">Shopping Centre </w:t>
            </w:r>
            <w:bookmarkStart w:id="1" w:name="_GoBack"/>
            <w:bookmarkEnd w:id="1"/>
            <w:r w:rsidRPr="007116B2">
              <w:rPr>
                <w:rFonts w:cstheme="minorHAnsi"/>
                <w:color w:val="000000"/>
                <w:sz w:val="20"/>
                <w:szCs w:val="20"/>
              </w:rPr>
              <w:t xml:space="preserve">redevelopment  </w:t>
            </w:r>
          </w:p>
        </w:tc>
        <w:tc>
          <w:tcPr>
            <w:tcW w:w="3660" w:type="dxa"/>
          </w:tcPr>
          <w:p w14:paraId="53E6383E" w14:textId="5757CCF4" w:rsidR="007116B2" w:rsidRPr="007116B2" w:rsidRDefault="007116B2" w:rsidP="007116B2">
            <w:pPr>
              <w:rPr>
                <w:rFonts w:cstheme="minorHAnsi"/>
                <w:sz w:val="20"/>
                <w:szCs w:val="20"/>
              </w:rPr>
            </w:pPr>
            <w:r w:rsidRPr="007116B2">
              <w:rPr>
                <w:rFonts w:cstheme="minorHAnsi"/>
                <w:color w:val="000000"/>
                <w:sz w:val="20"/>
                <w:szCs w:val="20"/>
              </w:rPr>
              <w:t>Refurbishment of existing retail properties(largely the main mall) with a small number of residential units brought forward at 10 Castle Street and 41/42 Birmingham Road</w:t>
            </w:r>
          </w:p>
        </w:tc>
        <w:tc>
          <w:tcPr>
            <w:tcW w:w="1289" w:type="dxa"/>
            <w:vAlign w:val="center"/>
          </w:tcPr>
          <w:p w14:paraId="42087ACB" w14:textId="7A3AD6AE" w:rsidR="007116B2" w:rsidRPr="003C0367" w:rsidRDefault="007116B2" w:rsidP="003C0367">
            <w:pPr>
              <w:jc w:val="center"/>
              <w:rPr>
                <w:rFonts w:cstheme="minorHAnsi"/>
                <w:sz w:val="20"/>
                <w:szCs w:val="20"/>
              </w:rPr>
            </w:pPr>
            <w:r w:rsidRPr="003C0367">
              <w:rPr>
                <w:rFonts w:cstheme="minorHAnsi"/>
                <w:b/>
                <w:bCs/>
                <w:color w:val="000000"/>
              </w:rPr>
              <w:t>58%</w:t>
            </w:r>
          </w:p>
        </w:tc>
        <w:tc>
          <w:tcPr>
            <w:tcW w:w="1289" w:type="dxa"/>
            <w:vAlign w:val="center"/>
          </w:tcPr>
          <w:p w14:paraId="5A5B872D" w14:textId="645EE977" w:rsidR="007116B2" w:rsidRPr="003C0367" w:rsidRDefault="007116B2" w:rsidP="003C0367">
            <w:pPr>
              <w:jc w:val="center"/>
              <w:rPr>
                <w:rFonts w:cstheme="minorHAnsi"/>
                <w:sz w:val="20"/>
                <w:szCs w:val="20"/>
              </w:rPr>
            </w:pPr>
            <w:r w:rsidRPr="003C0367">
              <w:rPr>
                <w:rFonts w:cstheme="minorHAnsi"/>
                <w:color w:val="000000"/>
              </w:rPr>
              <w:t>51%</w:t>
            </w:r>
          </w:p>
        </w:tc>
        <w:tc>
          <w:tcPr>
            <w:tcW w:w="1290" w:type="dxa"/>
            <w:vAlign w:val="center"/>
          </w:tcPr>
          <w:p w14:paraId="045DA37E" w14:textId="075AD3E4" w:rsidR="007116B2" w:rsidRPr="003C0367" w:rsidRDefault="007116B2" w:rsidP="003C0367">
            <w:pPr>
              <w:jc w:val="center"/>
              <w:rPr>
                <w:rFonts w:cstheme="minorHAnsi"/>
                <w:sz w:val="20"/>
                <w:szCs w:val="20"/>
              </w:rPr>
            </w:pPr>
            <w:r w:rsidRPr="003C0367">
              <w:rPr>
                <w:rFonts w:cstheme="minorHAnsi"/>
                <w:color w:val="000000"/>
              </w:rPr>
              <w:t>64%</w:t>
            </w:r>
          </w:p>
        </w:tc>
      </w:tr>
      <w:tr w:rsidR="003C0367" w14:paraId="7673D792" w14:textId="77777777" w:rsidTr="003C0367">
        <w:tc>
          <w:tcPr>
            <w:tcW w:w="1468" w:type="dxa"/>
          </w:tcPr>
          <w:p w14:paraId="056000AB" w14:textId="391966D3" w:rsidR="007116B2" w:rsidRPr="007116B2" w:rsidRDefault="007116B2" w:rsidP="007116B2">
            <w:pPr>
              <w:rPr>
                <w:rFonts w:cstheme="minorHAnsi"/>
                <w:sz w:val="20"/>
                <w:szCs w:val="20"/>
              </w:rPr>
            </w:pPr>
            <w:r w:rsidRPr="007116B2">
              <w:rPr>
                <w:rFonts w:cstheme="minorHAnsi"/>
                <w:color w:val="000000"/>
                <w:sz w:val="20"/>
                <w:szCs w:val="20"/>
              </w:rPr>
              <w:t xml:space="preserve">Old Post Office </w:t>
            </w:r>
          </w:p>
        </w:tc>
        <w:tc>
          <w:tcPr>
            <w:tcW w:w="3660" w:type="dxa"/>
          </w:tcPr>
          <w:p w14:paraId="4F064150" w14:textId="1E8A6BF8" w:rsidR="007116B2" w:rsidRPr="007116B2" w:rsidRDefault="007116B2" w:rsidP="007116B2">
            <w:pPr>
              <w:rPr>
                <w:rFonts w:cstheme="minorHAnsi"/>
                <w:sz w:val="20"/>
                <w:szCs w:val="20"/>
              </w:rPr>
            </w:pPr>
            <w:r w:rsidRPr="007116B2">
              <w:rPr>
                <w:rFonts w:cstheme="minorHAnsi"/>
                <w:color w:val="000000"/>
                <w:sz w:val="20"/>
                <w:szCs w:val="20"/>
              </w:rPr>
              <w:t>Refurbishment of a Listed Building in the conservation area that has been vacant for over 15 years, for residential purposes.</w:t>
            </w:r>
          </w:p>
        </w:tc>
        <w:tc>
          <w:tcPr>
            <w:tcW w:w="1289" w:type="dxa"/>
            <w:vAlign w:val="center"/>
          </w:tcPr>
          <w:p w14:paraId="3E0485CF" w14:textId="5484E188" w:rsidR="007116B2" w:rsidRPr="003C0367" w:rsidRDefault="007116B2" w:rsidP="003C0367">
            <w:pPr>
              <w:jc w:val="center"/>
              <w:rPr>
                <w:rFonts w:cstheme="minorHAnsi"/>
                <w:sz w:val="20"/>
                <w:szCs w:val="20"/>
              </w:rPr>
            </w:pPr>
            <w:r w:rsidRPr="003C0367">
              <w:rPr>
                <w:rFonts w:cstheme="minorHAnsi"/>
                <w:b/>
                <w:bCs/>
                <w:color w:val="000000"/>
              </w:rPr>
              <w:t>38%</w:t>
            </w:r>
          </w:p>
        </w:tc>
        <w:tc>
          <w:tcPr>
            <w:tcW w:w="1289" w:type="dxa"/>
            <w:vAlign w:val="center"/>
          </w:tcPr>
          <w:p w14:paraId="4E8E37AE" w14:textId="3CF22E9B" w:rsidR="007116B2" w:rsidRPr="003C0367" w:rsidRDefault="007116B2" w:rsidP="003C0367">
            <w:pPr>
              <w:jc w:val="center"/>
              <w:rPr>
                <w:rFonts w:cstheme="minorHAnsi"/>
                <w:sz w:val="20"/>
                <w:szCs w:val="20"/>
              </w:rPr>
            </w:pPr>
            <w:r w:rsidRPr="003C0367">
              <w:rPr>
                <w:rFonts w:cstheme="minorHAnsi"/>
                <w:color w:val="000000"/>
              </w:rPr>
              <w:t>31%</w:t>
            </w:r>
          </w:p>
        </w:tc>
        <w:tc>
          <w:tcPr>
            <w:tcW w:w="1290" w:type="dxa"/>
            <w:vAlign w:val="center"/>
          </w:tcPr>
          <w:p w14:paraId="40FAF41D" w14:textId="31FE8970" w:rsidR="007116B2" w:rsidRPr="003C0367" w:rsidRDefault="007116B2" w:rsidP="003C0367">
            <w:pPr>
              <w:jc w:val="center"/>
              <w:rPr>
                <w:rFonts w:cstheme="minorHAnsi"/>
                <w:sz w:val="20"/>
                <w:szCs w:val="20"/>
              </w:rPr>
            </w:pPr>
            <w:r w:rsidRPr="003C0367">
              <w:rPr>
                <w:rFonts w:cstheme="minorHAnsi"/>
                <w:color w:val="000000"/>
              </w:rPr>
              <w:t>44%</w:t>
            </w:r>
          </w:p>
        </w:tc>
      </w:tr>
    </w:tbl>
    <w:p w14:paraId="2E90915D" w14:textId="7B2579B1" w:rsidR="00AA7489" w:rsidRDefault="00AA7489" w:rsidP="00AA7489">
      <w:pPr>
        <w:pStyle w:val="Heading1"/>
        <w:tabs>
          <w:tab w:val="left" w:pos="720"/>
          <w:tab w:val="left" w:pos="5880"/>
        </w:tabs>
        <w:spacing w:before="120" w:after="120" w:line="240" w:lineRule="auto"/>
        <w:ind w:hanging="56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4</w:t>
      </w:r>
      <w:r w:rsidRPr="00AA7489">
        <w:rPr>
          <w:rFonts w:asciiTheme="minorHAnsi" w:hAnsiTheme="minorHAnsi" w:cstheme="minorHAnsi"/>
          <w:b/>
          <w:bCs/>
          <w:color w:val="auto"/>
          <w:sz w:val="22"/>
          <w:szCs w:val="22"/>
        </w:rPr>
        <w:t xml:space="preserve">. </w:t>
      </w:r>
      <w:r w:rsidRPr="00AA7489">
        <w:rPr>
          <w:rFonts w:asciiTheme="minorHAnsi" w:hAnsiTheme="minorHAnsi" w:cstheme="minorHAnsi"/>
          <w:b/>
          <w:bCs/>
          <w:color w:val="auto"/>
          <w:sz w:val="22"/>
          <w:szCs w:val="22"/>
        </w:rPr>
        <w:tab/>
      </w:r>
      <w:r>
        <w:rPr>
          <w:rFonts w:asciiTheme="minorHAnsi" w:hAnsiTheme="minorHAnsi" w:cstheme="minorHAnsi"/>
          <w:b/>
          <w:bCs/>
          <w:color w:val="auto"/>
          <w:sz w:val="22"/>
          <w:szCs w:val="22"/>
        </w:rPr>
        <w:t xml:space="preserve">Conclusions </w:t>
      </w:r>
    </w:p>
    <w:p w14:paraId="367A712C" w14:textId="4269FCC6" w:rsidR="003C0367" w:rsidRDefault="00AA7489" w:rsidP="00AA7489">
      <w:pPr>
        <w:pStyle w:val="Heading1"/>
        <w:tabs>
          <w:tab w:val="left" w:pos="720"/>
          <w:tab w:val="left" w:pos="5880"/>
        </w:tabs>
        <w:spacing w:before="120" w:after="120" w:line="240" w:lineRule="auto"/>
        <w:ind w:hanging="567"/>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ab/>
      </w:r>
      <w:r w:rsidRPr="00AA7489">
        <w:rPr>
          <w:rFonts w:asciiTheme="minorHAnsi" w:eastAsiaTheme="minorHAnsi" w:hAnsiTheme="minorHAnsi" w:cstheme="minorBidi"/>
          <w:color w:val="auto"/>
          <w:sz w:val="22"/>
          <w:szCs w:val="22"/>
        </w:rPr>
        <w:t>Based on the results of the assessment process</w:t>
      </w:r>
      <w:r w:rsidR="003C0367">
        <w:rPr>
          <w:rFonts w:asciiTheme="minorHAnsi" w:eastAsiaTheme="minorHAnsi" w:hAnsiTheme="minorHAnsi" w:cstheme="minorBidi"/>
          <w:color w:val="auto"/>
          <w:sz w:val="22"/>
          <w:szCs w:val="22"/>
        </w:rPr>
        <w:t xml:space="preserve"> described above, the University Campus Project stands out as the </w:t>
      </w:r>
      <w:r>
        <w:rPr>
          <w:rFonts w:asciiTheme="minorHAnsi" w:eastAsiaTheme="minorHAnsi" w:hAnsiTheme="minorHAnsi" w:cstheme="minorBidi"/>
          <w:color w:val="auto"/>
          <w:sz w:val="22"/>
          <w:szCs w:val="22"/>
        </w:rPr>
        <w:t>most closely aligned with the vision for Town and the use of the Towns Funding to stimulate transformational change</w:t>
      </w:r>
      <w:r w:rsidR="003C0367">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 xml:space="preserve">and </w:t>
      </w:r>
      <w:r w:rsidR="003C0367">
        <w:rPr>
          <w:rFonts w:asciiTheme="minorHAnsi" w:eastAsiaTheme="minorHAnsi" w:hAnsiTheme="minorHAnsi" w:cstheme="minorBidi"/>
          <w:color w:val="auto"/>
          <w:sz w:val="22"/>
          <w:szCs w:val="22"/>
        </w:rPr>
        <w:t xml:space="preserve">longer term </w:t>
      </w:r>
      <w:r>
        <w:rPr>
          <w:rFonts w:asciiTheme="minorHAnsi" w:eastAsiaTheme="minorHAnsi" w:hAnsiTheme="minorHAnsi" w:cstheme="minorBidi"/>
          <w:color w:val="auto"/>
          <w:sz w:val="22"/>
          <w:szCs w:val="22"/>
        </w:rPr>
        <w:t>productivity growth</w:t>
      </w:r>
      <w:r w:rsidR="003C0367">
        <w:rPr>
          <w:rFonts w:asciiTheme="minorHAnsi" w:eastAsiaTheme="minorHAnsi" w:hAnsiTheme="minorHAnsi" w:cstheme="minorBidi"/>
          <w:color w:val="auto"/>
          <w:sz w:val="22"/>
          <w:szCs w:val="22"/>
        </w:rPr>
        <w:t>.  The project has the capacity to make a significant contribution to</w:t>
      </w:r>
      <w:r w:rsidR="0086650B">
        <w:rPr>
          <w:rFonts w:asciiTheme="minorHAnsi" w:eastAsiaTheme="minorHAnsi" w:hAnsiTheme="minorHAnsi" w:cstheme="minorBidi"/>
          <w:color w:val="auto"/>
          <w:sz w:val="22"/>
          <w:szCs w:val="22"/>
        </w:rPr>
        <w:t xml:space="preserve">: </w:t>
      </w:r>
    </w:p>
    <w:p w14:paraId="66E8C8C2" w14:textId="20FFAD7B" w:rsidR="003C0367" w:rsidRDefault="003C0367" w:rsidP="003C0367">
      <w:pPr>
        <w:pStyle w:val="ListParagraph"/>
        <w:numPr>
          <w:ilvl w:val="0"/>
          <w:numId w:val="44"/>
        </w:numPr>
      </w:pPr>
      <w:r>
        <w:t xml:space="preserve">Raising the profile of the Town  – by transforming a major Gateway into the Town Centre </w:t>
      </w:r>
      <w:r w:rsidR="0086650B">
        <w:t>and attracting new students and expenditure into the Town</w:t>
      </w:r>
    </w:p>
    <w:p w14:paraId="0994BEDD" w14:textId="509B8F3D" w:rsidR="0086650B" w:rsidRDefault="0086650B" w:rsidP="003C0367">
      <w:pPr>
        <w:pStyle w:val="ListParagraph"/>
        <w:numPr>
          <w:ilvl w:val="0"/>
          <w:numId w:val="44"/>
        </w:numPr>
      </w:pPr>
      <w:r>
        <w:t>Increasing the vibrancy of the Town Centre and the night</w:t>
      </w:r>
      <w:r w:rsidR="003C448C">
        <w:t>-</w:t>
      </w:r>
      <w:r>
        <w:t>time economy – which will in turn contribute to increased jobs within retail and food services</w:t>
      </w:r>
    </w:p>
    <w:p w14:paraId="32B1D198" w14:textId="5DFE8DDA" w:rsidR="0086650B" w:rsidRDefault="003C0367" w:rsidP="003C0367">
      <w:pPr>
        <w:pStyle w:val="ListParagraph"/>
        <w:numPr>
          <w:ilvl w:val="0"/>
          <w:numId w:val="44"/>
        </w:numPr>
      </w:pPr>
      <w:r>
        <w:t>Improving higher level skills</w:t>
      </w:r>
      <w:r w:rsidR="0086650B">
        <w:t xml:space="preserve"> within the workforce</w:t>
      </w:r>
      <w:r>
        <w:t xml:space="preserve"> – which have the capacity to </w:t>
      </w:r>
      <w:r w:rsidR="0086650B">
        <w:t xml:space="preserve">increase </w:t>
      </w:r>
      <w:r>
        <w:t>productivity</w:t>
      </w:r>
      <w:r w:rsidR="0086650B">
        <w:t xml:space="preserve"> and the competitiveness of the business base </w:t>
      </w:r>
    </w:p>
    <w:p w14:paraId="3B249D20" w14:textId="2AF45CBD" w:rsidR="003C0367" w:rsidRDefault="0086650B" w:rsidP="003C0367">
      <w:pPr>
        <w:pStyle w:val="ListParagraph"/>
        <w:numPr>
          <w:ilvl w:val="0"/>
          <w:numId w:val="44"/>
        </w:numPr>
      </w:pPr>
      <w:r>
        <w:t xml:space="preserve">Attracting new businesses and enterprise into the Town – as a result of a suitably skilled labour force </w:t>
      </w:r>
    </w:p>
    <w:p w14:paraId="2FE59A18" w14:textId="3D2A8B6B" w:rsidR="00AA7489" w:rsidRDefault="0086650B" w:rsidP="001F5FA8">
      <w:pPr>
        <w:pStyle w:val="ListParagraph"/>
        <w:numPr>
          <w:ilvl w:val="0"/>
          <w:numId w:val="44"/>
        </w:numPr>
        <w:tabs>
          <w:tab w:val="left" w:pos="720"/>
          <w:tab w:val="left" w:pos="5880"/>
        </w:tabs>
        <w:spacing w:before="120" w:after="120" w:line="240" w:lineRule="auto"/>
        <w:ind w:hanging="567"/>
        <w:jc w:val="both"/>
      </w:pPr>
      <w:r>
        <w:t xml:space="preserve">The delivery of services within the Town – particularly health and social care, given the focus provided through the HE curriculum </w:t>
      </w:r>
    </w:p>
    <w:p w14:paraId="518E48C2" w14:textId="5F043CE3" w:rsidR="00BA2206" w:rsidRPr="00A86A0B" w:rsidRDefault="00BA2206" w:rsidP="003C0367">
      <w:pPr>
        <w:pStyle w:val="Heading1"/>
        <w:tabs>
          <w:tab w:val="left" w:pos="720"/>
          <w:tab w:val="left" w:pos="2895"/>
        </w:tabs>
        <w:spacing w:before="120" w:after="120" w:line="240" w:lineRule="auto"/>
        <w:ind w:right="95"/>
        <w:jc w:val="both"/>
        <w:rPr>
          <w:b/>
          <w:bCs/>
        </w:rPr>
      </w:pPr>
    </w:p>
    <w:p w14:paraId="7D03C710" w14:textId="14F8A148" w:rsidR="00BA2206" w:rsidRPr="00A86A0B" w:rsidRDefault="00BA2206" w:rsidP="005837CC">
      <w:pPr>
        <w:spacing w:before="120" w:after="120" w:line="240" w:lineRule="auto"/>
        <w:jc w:val="right"/>
      </w:pPr>
    </w:p>
    <w:sectPr w:rsidR="00BA2206" w:rsidRPr="00A86A0B" w:rsidSect="00B41DF4">
      <w:headerReference w:type="default"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E63A4" w14:textId="77777777" w:rsidR="005675CA" w:rsidRDefault="005675CA" w:rsidP="00CC7771">
      <w:pPr>
        <w:spacing w:after="0" w:line="240" w:lineRule="auto"/>
      </w:pPr>
      <w:r>
        <w:separator/>
      </w:r>
    </w:p>
  </w:endnote>
  <w:endnote w:type="continuationSeparator" w:id="0">
    <w:p w14:paraId="3AE16169" w14:textId="77777777" w:rsidR="005675CA" w:rsidRDefault="005675CA" w:rsidP="00CC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charset w:val="00"/>
    <w:family w:val="auto"/>
    <w:pitch w:val="default"/>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73283"/>
      <w:docPartObj>
        <w:docPartGallery w:val="Page Numbers (Bottom of Page)"/>
        <w:docPartUnique/>
      </w:docPartObj>
    </w:sdtPr>
    <w:sdtEndPr>
      <w:rPr>
        <w:noProof/>
      </w:rPr>
    </w:sdtEndPr>
    <w:sdtContent>
      <w:p w14:paraId="62B782C3" w14:textId="350D6B28" w:rsidR="00EC3C14" w:rsidRDefault="00EC3C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51AAB" w14:textId="77777777" w:rsidR="00EC3C14" w:rsidRDefault="00EC3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744118"/>
      <w:docPartObj>
        <w:docPartGallery w:val="Page Numbers (Bottom of Page)"/>
        <w:docPartUnique/>
      </w:docPartObj>
    </w:sdtPr>
    <w:sdtEndPr>
      <w:rPr>
        <w:noProof/>
      </w:rPr>
    </w:sdtEndPr>
    <w:sdtContent>
      <w:p w14:paraId="5FF379B2" w14:textId="33CD9650" w:rsidR="00A42AAE" w:rsidRDefault="00A42A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1FBBE" w14:textId="77777777" w:rsidR="00A42AAE" w:rsidRDefault="00A4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197ED" w14:textId="77777777" w:rsidR="005675CA" w:rsidRDefault="005675CA" w:rsidP="00CC7771">
      <w:pPr>
        <w:spacing w:after="0" w:line="240" w:lineRule="auto"/>
      </w:pPr>
      <w:r>
        <w:separator/>
      </w:r>
    </w:p>
  </w:footnote>
  <w:footnote w:type="continuationSeparator" w:id="0">
    <w:p w14:paraId="7EBFC27B" w14:textId="77777777" w:rsidR="005675CA" w:rsidRDefault="005675CA" w:rsidP="00CC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25D45" w14:paraId="19494BA8" w14:textId="77777777" w:rsidTr="009F2E1D">
      <w:tc>
        <w:tcPr>
          <w:tcW w:w="4508" w:type="dxa"/>
        </w:tcPr>
        <w:p w14:paraId="7D6B4349" w14:textId="77777777" w:rsidR="00E25D45" w:rsidRDefault="00E25D45" w:rsidP="00E25D45">
          <w:pPr>
            <w:pStyle w:val="Header"/>
            <w:tabs>
              <w:tab w:val="clear" w:pos="4680"/>
              <w:tab w:val="clear" w:pos="9360"/>
              <w:tab w:val="left" w:pos="3645"/>
            </w:tabs>
            <w:ind w:left="-262"/>
          </w:pPr>
          <w:r w:rsidRPr="00A97EE7">
            <w:rPr>
              <w:bCs/>
              <w:noProof/>
              <w:sz w:val="20"/>
              <w:szCs w:val="20"/>
              <w:lang w:eastAsia="en-GB"/>
            </w:rPr>
            <w:drawing>
              <wp:anchor distT="0" distB="0" distL="114300" distR="114300" simplePos="0" relativeHeight="251666944" behindDoc="0" locked="0" layoutInCell="1" allowOverlap="1" wp14:anchorId="2BE8292D" wp14:editId="04805F38">
                <wp:simplePos x="0" y="0"/>
                <wp:positionH relativeFrom="column">
                  <wp:posOffset>-6350</wp:posOffset>
                </wp:positionH>
                <wp:positionV relativeFrom="paragraph">
                  <wp:posOffset>7620</wp:posOffset>
                </wp:positionV>
                <wp:extent cx="1652270" cy="609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609600"/>
                        </a:xfrm>
                        <a:prstGeom prst="rect">
                          <a:avLst/>
                        </a:prstGeom>
                        <a:noFill/>
                      </pic:spPr>
                    </pic:pic>
                  </a:graphicData>
                </a:graphic>
              </wp:anchor>
            </w:drawing>
          </w:r>
        </w:p>
        <w:p w14:paraId="1701373E" w14:textId="77777777" w:rsidR="00E25D45" w:rsidRDefault="00E25D45" w:rsidP="00E25D45">
          <w:pPr>
            <w:pStyle w:val="Header"/>
            <w:tabs>
              <w:tab w:val="clear" w:pos="4680"/>
              <w:tab w:val="clear" w:pos="9360"/>
              <w:tab w:val="left" w:pos="3645"/>
            </w:tabs>
          </w:pPr>
        </w:p>
        <w:p w14:paraId="24B0F268" w14:textId="77777777" w:rsidR="00E25D45" w:rsidRDefault="00E25D45" w:rsidP="00E25D45">
          <w:pPr>
            <w:pStyle w:val="Header"/>
            <w:tabs>
              <w:tab w:val="clear" w:pos="4680"/>
              <w:tab w:val="clear" w:pos="9360"/>
              <w:tab w:val="left" w:pos="3645"/>
            </w:tabs>
          </w:pPr>
        </w:p>
        <w:p w14:paraId="3350520E" w14:textId="77777777" w:rsidR="00E25D45" w:rsidRDefault="00E25D45" w:rsidP="00E25D45">
          <w:pPr>
            <w:pStyle w:val="Header"/>
            <w:tabs>
              <w:tab w:val="clear" w:pos="4680"/>
              <w:tab w:val="clear" w:pos="9360"/>
              <w:tab w:val="left" w:pos="3645"/>
            </w:tabs>
            <w:ind w:left="-262"/>
          </w:pPr>
        </w:p>
      </w:tc>
      <w:tc>
        <w:tcPr>
          <w:tcW w:w="4508" w:type="dxa"/>
        </w:tcPr>
        <w:p w14:paraId="21B48F3A" w14:textId="7EA59431" w:rsidR="00E25D45" w:rsidRPr="0063563A" w:rsidRDefault="00E25D45" w:rsidP="00E25D45">
          <w:pPr>
            <w:pStyle w:val="Header"/>
            <w:tabs>
              <w:tab w:val="clear" w:pos="4680"/>
              <w:tab w:val="clear" w:pos="9360"/>
              <w:tab w:val="left" w:pos="3645"/>
            </w:tabs>
            <w:jc w:val="right"/>
            <w:rPr>
              <w:sz w:val="20"/>
              <w:szCs w:val="20"/>
            </w:rPr>
          </w:pPr>
        </w:p>
        <w:p w14:paraId="51F3B689" w14:textId="2C877901" w:rsidR="006D119F" w:rsidRPr="006D119F" w:rsidRDefault="00F81E7E" w:rsidP="006D119F">
          <w:pPr>
            <w:pStyle w:val="Header"/>
            <w:tabs>
              <w:tab w:val="left" w:pos="2468"/>
            </w:tabs>
            <w:jc w:val="right"/>
            <w:rPr>
              <w:sz w:val="20"/>
              <w:szCs w:val="20"/>
            </w:rPr>
          </w:pPr>
          <w:r>
            <w:rPr>
              <w:sz w:val="20"/>
              <w:szCs w:val="20"/>
            </w:rPr>
            <w:t>Dudley</w:t>
          </w:r>
          <w:r w:rsidR="006D119F" w:rsidRPr="006D119F">
            <w:rPr>
              <w:sz w:val="20"/>
              <w:szCs w:val="20"/>
            </w:rPr>
            <w:t xml:space="preserve"> Town Deal</w:t>
          </w:r>
          <w:r>
            <w:rPr>
              <w:sz w:val="20"/>
              <w:szCs w:val="20"/>
            </w:rPr>
            <w:t xml:space="preserve"> Board </w:t>
          </w:r>
          <w:r w:rsidR="006D119F" w:rsidRPr="006D119F">
            <w:rPr>
              <w:sz w:val="20"/>
              <w:szCs w:val="20"/>
            </w:rPr>
            <w:t xml:space="preserve">  </w:t>
          </w:r>
        </w:p>
        <w:p w14:paraId="26E77A3D" w14:textId="469B6185" w:rsidR="00E25D45" w:rsidRDefault="006D119F" w:rsidP="006D119F">
          <w:pPr>
            <w:pStyle w:val="Header"/>
            <w:tabs>
              <w:tab w:val="left" w:pos="2468"/>
            </w:tabs>
            <w:jc w:val="right"/>
          </w:pPr>
          <w:r w:rsidRPr="006D119F">
            <w:rPr>
              <w:sz w:val="20"/>
              <w:szCs w:val="20"/>
            </w:rPr>
            <w:t>Project Prioritisation</w:t>
          </w:r>
          <w:r w:rsidR="00F81E7E">
            <w:rPr>
              <w:sz w:val="20"/>
              <w:szCs w:val="20"/>
            </w:rPr>
            <w:t xml:space="preserve"> for the Town Investment Plan</w:t>
          </w:r>
        </w:p>
      </w:tc>
    </w:tr>
  </w:tbl>
  <w:p w14:paraId="1420E717" w14:textId="10759EC3" w:rsidR="00893E24" w:rsidRDefault="00E25D45">
    <w:pPr>
      <w:pStyle w:val="Header"/>
    </w:pPr>
    <w:r>
      <w:rPr>
        <w:noProof/>
        <w:lang w:eastAsia="en-GB"/>
      </w:rPr>
      <mc:AlternateContent>
        <mc:Choice Requires="wps">
          <w:drawing>
            <wp:anchor distT="0" distB="0" distL="114300" distR="114300" simplePos="0" relativeHeight="251668992" behindDoc="0" locked="0" layoutInCell="1" allowOverlap="1" wp14:anchorId="0B5860EE" wp14:editId="588B45E1">
              <wp:simplePos x="0" y="0"/>
              <wp:positionH relativeFrom="margin">
                <wp:posOffset>0</wp:posOffset>
              </wp:positionH>
              <wp:positionV relativeFrom="paragraph">
                <wp:posOffset>0</wp:posOffset>
              </wp:positionV>
              <wp:extent cx="5705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05475" cy="0"/>
                      </a:xfrm>
                      <a:prstGeom prst="line">
                        <a:avLst/>
                      </a:prstGeom>
                      <a:ln w="19050">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5DFD8" id="Straight Connector 1" o:spid="_x0000_s1026" style="position:absolute;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" strokecolor="#903" strokeweight="1.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4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9809"/>
    </w:tblGrid>
    <w:tr w:rsidR="0009381B" w14:paraId="18EA0915" w14:textId="77777777" w:rsidTr="00055802">
      <w:tc>
        <w:tcPr>
          <w:tcW w:w="4650" w:type="dxa"/>
        </w:tcPr>
        <w:p w14:paraId="578B5C30" w14:textId="77777777" w:rsidR="0009381B" w:rsidRDefault="0009381B" w:rsidP="0009381B">
          <w:pPr>
            <w:pStyle w:val="Header"/>
            <w:tabs>
              <w:tab w:val="clear" w:pos="4680"/>
              <w:tab w:val="clear" w:pos="9360"/>
              <w:tab w:val="left" w:pos="3645"/>
            </w:tabs>
            <w:ind w:left="-262"/>
          </w:pPr>
          <w:r w:rsidRPr="00A97EE7">
            <w:rPr>
              <w:bCs/>
              <w:noProof/>
              <w:sz w:val="20"/>
              <w:szCs w:val="20"/>
              <w:lang w:eastAsia="en-GB"/>
            </w:rPr>
            <w:drawing>
              <wp:anchor distT="0" distB="0" distL="114300" distR="114300" simplePos="0" relativeHeight="251671040" behindDoc="0" locked="0" layoutInCell="1" allowOverlap="1" wp14:anchorId="656B2D63" wp14:editId="5BB92919">
                <wp:simplePos x="0" y="0"/>
                <wp:positionH relativeFrom="column">
                  <wp:posOffset>-6350</wp:posOffset>
                </wp:positionH>
                <wp:positionV relativeFrom="paragraph">
                  <wp:posOffset>7620</wp:posOffset>
                </wp:positionV>
                <wp:extent cx="1652270" cy="6096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609600"/>
                        </a:xfrm>
                        <a:prstGeom prst="rect">
                          <a:avLst/>
                        </a:prstGeom>
                        <a:noFill/>
                      </pic:spPr>
                    </pic:pic>
                  </a:graphicData>
                </a:graphic>
              </wp:anchor>
            </w:drawing>
          </w:r>
        </w:p>
        <w:p w14:paraId="185C812B" w14:textId="77777777" w:rsidR="0009381B" w:rsidRDefault="0009381B" w:rsidP="0009381B">
          <w:pPr>
            <w:pStyle w:val="Header"/>
            <w:tabs>
              <w:tab w:val="clear" w:pos="4680"/>
              <w:tab w:val="clear" w:pos="9360"/>
              <w:tab w:val="left" w:pos="3645"/>
            </w:tabs>
          </w:pPr>
        </w:p>
        <w:p w14:paraId="2FD41F65" w14:textId="77777777" w:rsidR="0009381B" w:rsidRDefault="0009381B" w:rsidP="0009381B">
          <w:pPr>
            <w:pStyle w:val="Header"/>
            <w:tabs>
              <w:tab w:val="clear" w:pos="4680"/>
              <w:tab w:val="clear" w:pos="9360"/>
              <w:tab w:val="left" w:pos="3645"/>
            </w:tabs>
          </w:pPr>
        </w:p>
        <w:p w14:paraId="77C5382F" w14:textId="77777777" w:rsidR="0009381B" w:rsidRDefault="0009381B" w:rsidP="0009381B">
          <w:pPr>
            <w:pStyle w:val="Header"/>
            <w:tabs>
              <w:tab w:val="clear" w:pos="4680"/>
              <w:tab w:val="clear" w:pos="9360"/>
              <w:tab w:val="left" w:pos="3645"/>
            </w:tabs>
            <w:ind w:left="-262"/>
          </w:pPr>
        </w:p>
      </w:tc>
      <w:tc>
        <w:tcPr>
          <w:tcW w:w="9809" w:type="dxa"/>
        </w:tcPr>
        <w:p w14:paraId="640962C0" w14:textId="204D8B48" w:rsidR="0009381B" w:rsidRPr="0063563A" w:rsidRDefault="0009381B" w:rsidP="0009381B">
          <w:pPr>
            <w:pStyle w:val="Header"/>
            <w:tabs>
              <w:tab w:val="clear" w:pos="4680"/>
              <w:tab w:val="clear" w:pos="9360"/>
              <w:tab w:val="left" w:pos="3645"/>
            </w:tabs>
            <w:jc w:val="right"/>
            <w:rPr>
              <w:sz w:val="20"/>
              <w:szCs w:val="20"/>
            </w:rPr>
          </w:pPr>
          <w:r w:rsidRPr="0063563A">
            <w:rPr>
              <w:sz w:val="20"/>
              <w:szCs w:val="20"/>
            </w:rPr>
            <w:t xml:space="preserve">Blackpool Town </w:t>
          </w:r>
          <w:r w:rsidR="00F16351">
            <w:rPr>
              <w:sz w:val="20"/>
              <w:szCs w:val="20"/>
            </w:rPr>
            <w:t xml:space="preserve">Deal </w:t>
          </w:r>
          <w:r w:rsidRPr="0063563A">
            <w:rPr>
              <w:sz w:val="20"/>
              <w:szCs w:val="20"/>
            </w:rPr>
            <w:t xml:space="preserve"> </w:t>
          </w:r>
        </w:p>
        <w:p w14:paraId="305A7292" w14:textId="1346F568" w:rsidR="0009381B" w:rsidRPr="006D119F" w:rsidRDefault="0009381B" w:rsidP="006D119F">
          <w:pPr>
            <w:pStyle w:val="Header"/>
            <w:tabs>
              <w:tab w:val="clear" w:pos="4680"/>
              <w:tab w:val="clear" w:pos="9360"/>
              <w:tab w:val="left" w:pos="3645"/>
            </w:tabs>
            <w:jc w:val="right"/>
            <w:rPr>
              <w:sz w:val="20"/>
              <w:szCs w:val="20"/>
            </w:rPr>
          </w:pPr>
          <w:r w:rsidRPr="0063563A">
            <w:rPr>
              <w:sz w:val="20"/>
              <w:szCs w:val="20"/>
            </w:rPr>
            <w:t>Town Investment Plan – Pro</w:t>
          </w:r>
          <w:r w:rsidR="00F16351">
            <w:rPr>
              <w:sz w:val="20"/>
              <w:szCs w:val="20"/>
            </w:rPr>
            <w:t>ject Prioritisation</w:t>
          </w:r>
        </w:p>
      </w:tc>
    </w:tr>
  </w:tbl>
  <w:p w14:paraId="02D4F82B" w14:textId="7ECCE6E9" w:rsidR="00191EB2" w:rsidRDefault="0063563A" w:rsidP="0063563A">
    <w:pPr>
      <w:pStyle w:val="Header"/>
      <w:tabs>
        <w:tab w:val="clear" w:pos="4680"/>
        <w:tab w:val="clear" w:pos="9360"/>
        <w:tab w:val="left" w:pos="3645"/>
      </w:tabs>
    </w:pPr>
    <w:r>
      <w:tab/>
    </w:r>
    <w:r w:rsidR="0009381B">
      <w:rPr>
        <w:noProof/>
        <w:lang w:eastAsia="en-GB"/>
      </w:rPr>
      <mc:AlternateContent>
        <mc:Choice Requires="wps">
          <w:drawing>
            <wp:anchor distT="0" distB="0" distL="114300" distR="114300" simplePos="0" relativeHeight="251673088" behindDoc="0" locked="0" layoutInCell="1" allowOverlap="1" wp14:anchorId="25FCCC01" wp14:editId="6E2B1528">
              <wp:simplePos x="0" y="0"/>
              <wp:positionH relativeFrom="margin">
                <wp:posOffset>0</wp:posOffset>
              </wp:positionH>
              <wp:positionV relativeFrom="paragraph">
                <wp:posOffset>0</wp:posOffset>
              </wp:positionV>
              <wp:extent cx="57054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w="19050">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919E8" id="Straight Connector 6" o:spid="_x0000_s1026" style="position:absolute;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" strokecolor="#903"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536"/>
    <w:multiLevelType w:val="hybridMultilevel"/>
    <w:tmpl w:val="4404E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03E"/>
    <w:multiLevelType w:val="hybridMultilevel"/>
    <w:tmpl w:val="B8E4B1EE"/>
    <w:lvl w:ilvl="0" w:tplc="F40052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811FD"/>
    <w:multiLevelType w:val="hybridMultilevel"/>
    <w:tmpl w:val="B420ADB4"/>
    <w:lvl w:ilvl="0" w:tplc="F40052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07C42"/>
    <w:multiLevelType w:val="hybridMultilevel"/>
    <w:tmpl w:val="30A0C434"/>
    <w:lvl w:ilvl="0" w:tplc="48CC1E5C">
      <w:numFmt w:val="bullet"/>
      <w:lvlText w:val="-"/>
      <w:lvlJc w:val="left"/>
      <w:pPr>
        <w:ind w:left="720" w:hanging="360"/>
      </w:pPr>
      <w:rPr>
        <w:rFonts w:ascii="Calibri" w:eastAsiaTheme="majorEastAsia"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A1799"/>
    <w:multiLevelType w:val="hybridMultilevel"/>
    <w:tmpl w:val="0AE2C98C"/>
    <w:lvl w:ilvl="0" w:tplc="42FAD776">
      <w:start w:val="1"/>
      <w:numFmt w:val="bullet"/>
      <w:lvlText w:val=""/>
      <w:lvlJc w:val="left"/>
      <w:pPr>
        <w:ind w:left="720"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04A9D"/>
    <w:multiLevelType w:val="hybridMultilevel"/>
    <w:tmpl w:val="37ECD440"/>
    <w:lvl w:ilvl="0" w:tplc="2F320E9A">
      <w:start w:val="1"/>
      <w:numFmt w:val="bullet"/>
      <w:lvlText w:val=""/>
      <w:lvlJc w:val="left"/>
      <w:pPr>
        <w:ind w:left="720" w:hanging="360"/>
      </w:pPr>
      <w:rPr>
        <w:rFonts w:ascii="Symbol" w:hAnsi="Symbol" w:hint="default"/>
        <w:color w:val="83006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10264"/>
    <w:multiLevelType w:val="hybridMultilevel"/>
    <w:tmpl w:val="D700CFE2"/>
    <w:lvl w:ilvl="0" w:tplc="F40052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71D8A"/>
    <w:multiLevelType w:val="hybridMultilevel"/>
    <w:tmpl w:val="E8885C5A"/>
    <w:lvl w:ilvl="0" w:tplc="50BA62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C7F66"/>
    <w:multiLevelType w:val="hybridMultilevel"/>
    <w:tmpl w:val="6EB47734"/>
    <w:lvl w:ilvl="0" w:tplc="2F320E9A">
      <w:start w:val="1"/>
      <w:numFmt w:val="bullet"/>
      <w:lvlText w:val=""/>
      <w:lvlJc w:val="left"/>
      <w:pPr>
        <w:ind w:left="720" w:hanging="360"/>
      </w:pPr>
      <w:rPr>
        <w:rFonts w:ascii="Symbol" w:hAnsi="Symbol" w:hint="default"/>
        <w:color w:val="83006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36181C"/>
    <w:multiLevelType w:val="hybridMultilevel"/>
    <w:tmpl w:val="3E90753A"/>
    <w:lvl w:ilvl="0" w:tplc="2F320E9A">
      <w:start w:val="1"/>
      <w:numFmt w:val="bullet"/>
      <w:lvlText w:val=""/>
      <w:lvlJc w:val="left"/>
      <w:pPr>
        <w:ind w:left="720" w:hanging="360"/>
      </w:pPr>
      <w:rPr>
        <w:rFonts w:ascii="Symbol" w:hAnsi="Symbol" w:hint="default"/>
        <w:color w:val="83006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131CF0"/>
    <w:multiLevelType w:val="hybridMultilevel"/>
    <w:tmpl w:val="A6F0EBB8"/>
    <w:lvl w:ilvl="0" w:tplc="F40052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A142B"/>
    <w:multiLevelType w:val="hybridMultilevel"/>
    <w:tmpl w:val="1E8AD66C"/>
    <w:lvl w:ilvl="0" w:tplc="A72CE9C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17D53"/>
    <w:multiLevelType w:val="hybridMultilevel"/>
    <w:tmpl w:val="6A361926"/>
    <w:lvl w:ilvl="0" w:tplc="2F320E9A">
      <w:start w:val="1"/>
      <w:numFmt w:val="bullet"/>
      <w:lvlText w:val=""/>
      <w:lvlJc w:val="left"/>
      <w:pPr>
        <w:ind w:left="1457" w:hanging="360"/>
      </w:pPr>
      <w:rPr>
        <w:rFonts w:ascii="Symbol" w:hAnsi="Symbol" w:hint="default"/>
        <w:color w:val="830065"/>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1F412FCC"/>
    <w:multiLevelType w:val="hybridMultilevel"/>
    <w:tmpl w:val="CD20CF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E3643"/>
    <w:multiLevelType w:val="hybridMultilevel"/>
    <w:tmpl w:val="EF621C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66C3670"/>
    <w:multiLevelType w:val="hybridMultilevel"/>
    <w:tmpl w:val="7F5A2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49C4CB8">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E058E"/>
    <w:multiLevelType w:val="hybridMultilevel"/>
    <w:tmpl w:val="B3728C9C"/>
    <w:lvl w:ilvl="0" w:tplc="C6C61000">
      <w:numFmt w:val="bullet"/>
      <w:lvlText w:val="•"/>
      <w:lvlJc w:val="left"/>
      <w:pPr>
        <w:ind w:left="720" w:hanging="360"/>
      </w:pPr>
      <w:rPr>
        <w:rFonts w:ascii="Calibri" w:hAnsi="Calibri" w:hint="default"/>
        <w:color w:val="990033"/>
      </w:rPr>
    </w:lvl>
    <w:lvl w:ilvl="1" w:tplc="10C4B5C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D3B7E"/>
    <w:multiLevelType w:val="hybridMultilevel"/>
    <w:tmpl w:val="0420838C"/>
    <w:lvl w:ilvl="0" w:tplc="2F320E9A">
      <w:start w:val="1"/>
      <w:numFmt w:val="bullet"/>
      <w:lvlText w:val=""/>
      <w:lvlJc w:val="left"/>
      <w:pPr>
        <w:ind w:left="720" w:hanging="360"/>
      </w:pPr>
      <w:rPr>
        <w:rFonts w:ascii="Symbol" w:hAnsi="Symbol" w:hint="default"/>
        <w:color w:val="83006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ABB0F10"/>
    <w:multiLevelType w:val="hybridMultilevel"/>
    <w:tmpl w:val="F3849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F7C04"/>
    <w:multiLevelType w:val="hybridMultilevel"/>
    <w:tmpl w:val="F8F0C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E22108"/>
    <w:multiLevelType w:val="hybridMultilevel"/>
    <w:tmpl w:val="98B87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F7D01"/>
    <w:multiLevelType w:val="hybridMultilevel"/>
    <w:tmpl w:val="B352F298"/>
    <w:lvl w:ilvl="0" w:tplc="0809001B">
      <w:start w:val="1"/>
      <w:numFmt w:val="lowerRoman"/>
      <w:lvlText w:val="%1."/>
      <w:lvlJc w:val="right"/>
      <w:pPr>
        <w:ind w:left="720" w:hanging="360"/>
      </w:pPr>
    </w:lvl>
    <w:lvl w:ilvl="1" w:tplc="6096E22C">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3248F2"/>
    <w:multiLevelType w:val="hybridMultilevel"/>
    <w:tmpl w:val="2C342D90"/>
    <w:lvl w:ilvl="0" w:tplc="F01E4292">
      <w:start w:val="4"/>
      <w:numFmt w:val="bullet"/>
      <w:lvlText w:val="-"/>
      <w:lvlJc w:val="left"/>
      <w:pPr>
        <w:ind w:left="720" w:hanging="360"/>
      </w:pPr>
      <w:rPr>
        <w:rFonts w:ascii="Calibri" w:eastAsiaTheme="majorEastAsia" w:hAnsi="Calibri" w:cs="Calibri"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62922"/>
    <w:multiLevelType w:val="hybridMultilevel"/>
    <w:tmpl w:val="6B702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2768F"/>
    <w:multiLevelType w:val="hybridMultilevel"/>
    <w:tmpl w:val="6586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794DDE"/>
    <w:multiLevelType w:val="hybridMultilevel"/>
    <w:tmpl w:val="80908B0A"/>
    <w:lvl w:ilvl="0" w:tplc="5B3477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B65D83"/>
    <w:multiLevelType w:val="hybridMultilevel"/>
    <w:tmpl w:val="4CB4F2E0"/>
    <w:lvl w:ilvl="0" w:tplc="42FAD776">
      <w:start w:val="1"/>
      <w:numFmt w:val="bullet"/>
      <w:lvlText w:val=""/>
      <w:lvlJc w:val="left"/>
      <w:pPr>
        <w:ind w:left="720"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D2E02"/>
    <w:multiLevelType w:val="hybridMultilevel"/>
    <w:tmpl w:val="BCF21938"/>
    <w:lvl w:ilvl="0" w:tplc="C6C61000">
      <w:numFmt w:val="bullet"/>
      <w:lvlText w:val="•"/>
      <w:lvlJc w:val="left"/>
      <w:pPr>
        <w:ind w:left="720" w:hanging="360"/>
      </w:pPr>
      <w:rPr>
        <w:rFonts w:ascii="Calibri" w:hAnsi="Calibri"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95D98"/>
    <w:multiLevelType w:val="hybridMultilevel"/>
    <w:tmpl w:val="A1DAB21A"/>
    <w:lvl w:ilvl="0" w:tplc="42FAD776">
      <w:start w:val="1"/>
      <w:numFmt w:val="bullet"/>
      <w:lvlText w:val=""/>
      <w:lvlJc w:val="left"/>
      <w:pPr>
        <w:ind w:left="720"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572B8"/>
    <w:multiLevelType w:val="hybridMultilevel"/>
    <w:tmpl w:val="92DED418"/>
    <w:lvl w:ilvl="0" w:tplc="7038933C">
      <w:start w:val="1"/>
      <w:numFmt w:val="bullet"/>
      <w:lvlText w:val=""/>
      <w:lvlJc w:val="left"/>
      <w:pPr>
        <w:ind w:left="720" w:hanging="360"/>
      </w:pPr>
      <w:rPr>
        <w:rFonts w:ascii="Symbol" w:eastAsiaTheme="minorHAnsi" w:hAnsi="Symbol" w:cstheme="minorBidi" w:hint="default"/>
      </w:rPr>
    </w:lvl>
    <w:lvl w:ilvl="1" w:tplc="2A58C97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E2555"/>
    <w:multiLevelType w:val="hybridMultilevel"/>
    <w:tmpl w:val="F15AD26C"/>
    <w:lvl w:ilvl="0" w:tplc="0809000B">
      <w:start w:val="1"/>
      <w:numFmt w:val="bullet"/>
      <w:lvlText w:val=""/>
      <w:lvlJc w:val="left"/>
      <w:pPr>
        <w:ind w:left="2520" w:hanging="360"/>
      </w:pPr>
      <w:rPr>
        <w:rFonts w:ascii="Wingdings" w:hAnsi="Wingdings" w:hint="default"/>
        <w:color w:val="830065"/>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1" w15:restartNumberingAfterBreak="0">
    <w:nsid w:val="5D3C0671"/>
    <w:multiLevelType w:val="hybridMultilevel"/>
    <w:tmpl w:val="F22E8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1270B8"/>
    <w:multiLevelType w:val="hybridMultilevel"/>
    <w:tmpl w:val="96F49DD2"/>
    <w:lvl w:ilvl="0" w:tplc="C6C61000">
      <w:numFmt w:val="bullet"/>
      <w:lvlText w:val="•"/>
      <w:lvlJc w:val="left"/>
      <w:pPr>
        <w:ind w:left="720" w:hanging="360"/>
      </w:pPr>
      <w:rPr>
        <w:rFonts w:ascii="Calibri" w:hAnsi="Calibri"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12E86"/>
    <w:multiLevelType w:val="hybridMultilevel"/>
    <w:tmpl w:val="17706242"/>
    <w:lvl w:ilvl="0" w:tplc="2F320E9A">
      <w:start w:val="1"/>
      <w:numFmt w:val="bullet"/>
      <w:lvlText w:val=""/>
      <w:lvlJc w:val="left"/>
      <w:pPr>
        <w:ind w:left="2520" w:hanging="360"/>
      </w:pPr>
      <w:rPr>
        <w:rFonts w:ascii="Symbol" w:hAnsi="Symbol" w:hint="default"/>
        <w:color w:val="830065"/>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4" w15:restartNumberingAfterBreak="0">
    <w:nsid w:val="66685E18"/>
    <w:multiLevelType w:val="hybridMultilevel"/>
    <w:tmpl w:val="1AA81A60"/>
    <w:lvl w:ilvl="0" w:tplc="0809000B">
      <w:start w:val="1"/>
      <w:numFmt w:val="bullet"/>
      <w:lvlText w:val=""/>
      <w:lvlJc w:val="left"/>
      <w:pPr>
        <w:ind w:left="720" w:hanging="360"/>
      </w:pPr>
      <w:rPr>
        <w:rFonts w:ascii="Wingdings" w:hAnsi="Wingdings"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4221B"/>
    <w:multiLevelType w:val="hybridMultilevel"/>
    <w:tmpl w:val="2222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5A0592"/>
    <w:multiLevelType w:val="hybridMultilevel"/>
    <w:tmpl w:val="C206D206"/>
    <w:lvl w:ilvl="0" w:tplc="42FAD776">
      <w:start w:val="1"/>
      <w:numFmt w:val="bullet"/>
      <w:lvlText w:val=""/>
      <w:lvlJc w:val="left"/>
      <w:pPr>
        <w:ind w:left="720"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32CA0"/>
    <w:multiLevelType w:val="hybridMultilevel"/>
    <w:tmpl w:val="1246884C"/>
    <w:lvl w:ilvl="0" w:tplc="644AEC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0C0360"/>
    <w:multiLevelType w:val="hybridMultilevel"/>
    <w:tmpl w:val="634A73BE"/>
    <w:lvl w:ilvl="0" w:tplc="50BA62DC">
      <w:start w:val="1"/>
      <w:numFmt w:val="bullet"/>
      <w:lvlText w:val=""/>
      <w:lvlJc w:val="left"/>
      <w:pPr>
        <w:ind w:left="720" w:hanging="360"/>
      </w:pPr>
      <w:rPr>
        <w:rFonts w:ascii="Symbol" w:hAnsi="Symbol" w:hint="default"/>
        <w:color w:val="auto"/>
      </w:rPr>
    </w:lvl>
    <w:lvl w:ilvl="1" w:tplc="F40052A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214BB"/>
    <w:multiLevelType w:val="hybridMultilevel"/>
    <w:tmpl w:val="81CCDD80"/>
    <w:lvl w:ilvl="0" w:tplc="127800A4">
      <w:start w:val="1"/>
      <w:numFmt w:val="bullet"/>
      <w:pStyle w:val="ListBullet2"/>
      <w:lvlText w:val=""/>
      <w:lvlJc w:val="left"/>
      <w:pPr>
        <w:ind w:left="720" w:hanging="360"/>
      </w:pPr>
      <w:rPr>
        <w:rFonts w:ascii="Symbol" w:hAnsi="Symbol"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71089"/>
    <w:multiLevelType w:val="hybridMultilevel"/>
    <w:tmpl w:val="3B4A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1681A"/>
    <w:multiLevelType w:val="hybridMultilevel"/>
    <w:tmpl w:val="187A5FBA"/>
    <w:lvl w:ilvl="0" w:tplc="C6C61000">
      <w:numFmt w:val="bullet"/>
      <w:pStyle w:val="bullet1"/>
      <w:lvlText w:val="•"/>
      <w:lvlJc w:val="left"/>
      <w:pPr>
        <w:ind w:left="720" w:hanging="360"/>
      </w:pPr>
      <w:rPr>
        <w:rFonts w:ascii="Calibri" w:hAnsi="Calibri"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51398"/>
    <w:multiLevelType w:val="hybridMultilevel"/>
    <w:tmpl w:val="8DAC62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9"/>
  </w:num>
  <w:num w:numId="2">
    <w:abstractNumId w:val="13"/>
  </w:num>
  <w:num w:numId="3">
    <w:abstractNumId w:val="11"/>
  </w:num>
  <w:num w:numId="4">
    <w:abstractNumId w:val="29"/>
  </w:num>
  <w:num w:numId="5">
    <w:abstractNumId w:val="32"/>
  </w:num>
  <w:num w:numId="6">
    <w:abstractNumId w:val="6"/>
  </w:num>
  <w:num w:numId="7">
    <w:abstractNumId w:val="7"/>
  </w:num>
  <w:num w:numId="8">
    <w:abstractNumId w:val="1"/>
  </w:num>
  <w:num w:numId="9">
    <w:abstractNumId w:val="38"/>
  </w:num>
  <w:num w:numId="10">
    <w:abstractNumId w:val="10"/>
  </w:num>
  <w:num w:numId="11">
    <w:abstractNumId w:val="2"/>
  </w:num>
  <w:num w:numId="12">
    <w:abstractNumId w:val="3"/>
  </w:num>
  <w:num w:numId="13">
    <w:abstractNumId w:val="40"/>
  </w:num>
  <w:num w:numId="14">
    <w:abstractNumId w:val="19"/>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24"/>
  </w:num>
  <w:num w:numId="19">
    <w:abstractNumId w:val="25"/>
  </w:num>
  <w:num w:numId="20">
    <w:abstractNumId w:val="31"/>
  </w:num>
  <w:num w:numId="21">
    <w:abstractNumId w:val="35"/>
  </w:num>
  <w:num w:numId="22">
    <w:abstractNumId w:val="18"/>
  </w:num>
  <w:num w:numId="23">
    <w:abstractNumId w:val="21"/>
  </w:num>
  <w:num w:numId="24">
    <w:abstractNumId w:val="23"/>
  </w:num>
  <w:num w:numId="25">
    <w:abstractNumId w:val="15"/>
  </w:num>
  <w:num w:numId="26">
    <w:abstractNumId w:val="20"/>
  </w:num>
  <w:num w:numId="27">
    <w:abstractNumId w:val="16"/>
  </w:num>
  <w:num w:numId="28">
    <w:abstractNumId w:val="9"/>
  </w:num>
  <w:num w:numId="29">
    <w:abstractNumId w:val="17"/>
  </w:num>
  <w:num w:numId="30">
    <w:abstractNumId w:val="8"/>
  </w:num>
  <w:num w:numId="31">
    <w:abstractNumId w:val="5"/>
  </w:num>
  <w:num w:numId="32">
    <w:abstractNumId w:val="33"/>
  </w:num>
  <w:num w:numId="33">
    <w:abstractNumId w:val="0"/>
  </w:num>
  <w:num w:numId="34">
    <w:abstractNumId w:val="12"/>
  </w:num>
  <w:num w:numId="35">
    <w:abstractNumId w:val="42"/>
  </w:num>
  <w:num w:numId="36">
    <w:abstractNumId w:val="30"/>
  </w:num>
  <w:num w:numId="37">
    <w:abstractNumId w:val="27"/>
  </w:num>
  <w:num w:numId="38">
    <w:abstractNumId w:val="41"/>
  </w:num>
  <w:num w:numId="39">
    <w:abstractNumId w:val="34"/>
  </w:num>
  <w:num w:numId="40">
    <w:abstractNumId w:val="36"/>
  </w:num>
  <w:num w:numId="41">
    <w:abstractNumId w:val="26"/>
  </w:num>
  <w:num w:numId="42">
    <w:abstractNumId w:val="37"/>
  </w:num>
  <w:num w:numId="43">
    <w:abstractNumId w:val="28"/>
  </w:num>
  <w:num w:numId="44">
    <w:abstractNumId w:val="4"/>
  </w:num>
  <w:num w:numId="4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CE"/>
    <w:rsid w:val="00001FC2"/>
    <w:rsid w:val="0000407D"/>
    <w:rsid w:val="00010BE3"/>
    <w:rsid w:val="00026ED6"/>
    <w:rsid w:val="00035949"/>
    <w:rsid w:val="000459C5"/>
    <w:rsid w:val="00055802"/>
    <w:rsid w:val="0006475B"/>
    <w:rsid w:val="00072017"/>
    <w:rsid w:val="000849E0"/>
    <w:rsid w:val="000861B8"/>
    <w:rsid w:val="000862B8"/>
    <w:rsid w:val="0009381B"/>
    <w:rsid w:val="00095E90"/>
    <w:rsid w:val="0009665E"/>
    <w:rsid w:val="00097352"/>
    <w:rsid w:val="000A1076"/>
    <w:rsid w:val="000A60F1"/>
    <w:rsid w:val="000B7259"/>
    <w:rsid w:val="000C239B"/>
    <w:rsid w:val="000C4E78"/>
    <w:rsid w:val="000D4553"/>
    <w:rsid w:val="000D466C"/>
    <w:rsid w:val="000D50CA"/>
    <w:rsid w:val="000F0F3B"/>
    <w:rsid w:val="000F2685"/>
    <w:rsid w:val="000F3736"/>
    <w:rsid w:val="00100E64"/>
    <w:rsid w:val="00101006"/>
    <w:rsid w:val="001015CF"/>
    <w:rsid w:val="0010228D"/>
    <w:rsid w:val="00116C59"/>
    <w:rsid w:val="00124060"/>
    <w:rsid w:val="0012721D"/>
    <w:rsid w:val="00132CDE"/>
    <w:rsid w:val="00133734"/>
    <w:rsid w:val="00133FAE"/>
    <w:rsid w:val="001503B8"/>
    <w:rsid w:val="001514BC"/>
    <w:rsid w:val="00152599"/>
    <w:rsid w:val="0016276F"/>
    <w:rsid w:val="00163B1E"/>
    <w:rsid w:val="00170F5B"/>
    <w:rsid w:val="001719EC"/>
    <w:rsid w:val="0018063E"/>
    <w:rsid w:val="0018337E"/>
    <w:rsid w:val="00191EB2"/>
    <w:rsid w:val="00195607"/>
    <w:rsid w:val="001958FB"/>
    <w:rsid w:val="001A4122"/>
    <w:rsid w:val="001C41F1"/>
    <w:rsid w:val="001D6097"/>
    <w:rsid w:val="001E28B6"/>
    <w:rsid w:val="0020436E"/>
    <w:rsid w:val="00222C78"/>
    <w:rsid w:val="002243CB"/>
    <w:rsid w:val="0022451C"/>
    <w:rsid w:val="00227342"/>
    <w:rsid w:val="00232859"/>
    <w:rsid w:val="00234390"/>
    <w:rsid w:val="00237F86"/>
    <w:rsid w:val="002455A4"/>
    <w:rsid w:val="00245B22"/>
    <w:rsid w:val="00251086"/>
    <w:rsid w:val="00257CC4"/>
    <w:rsid w:val="00260BE9"/>
    <w:rsid w:val="002632E4"/>
    <w:rsid w:val="00275E33"/>
    <w:rsid w:val="002802F7"/>
    <w:rsid w:val="00283C18"/>
    <w:rsid w:val="00283C2A"/>
    <w:rsid w:val="00287A72"/>
    <w:rsid w:val="002A2F11"/>
    <w:rsid w:val="002A2F64"/>
    <w:rsid w:val="002A3366"/>
    <w:rsid w:val="002C0C9B"/>
    <w:rsid w:val="002C2189"/>
    <w:rsid w:val="002C5189"/>
    <w:rsid w:val="002F16DC"/>
    <w:rsid w:val="002F3B5E"/>
    <w:rsid w:val="00302D7D"/>
    <w:rsid w:val="00304C19"/>
    <w:rsid w:val="00306967"/>
    <w:rsid w:val="0031191B"/>
    <w:rsid w:val="003163DA"/>
    <w:rsid w:val="0032191D"/>
    <w:rsid w:val="003250D3"/>
    <w:rsid w:val="0033089F"/>
    <w:rsid w:val="00332E2A"/>
    <w:rsid w:val="00337DA4"/>
    <w:rsid w:val="00343E44"/>
    <w:rsid w:val="0034639A"/>
    <w:rsid w:val="00346493"/>
    <w:rsid w:val="00347E0E"/>
    <w:rsid w:val="00354FA7"/>
    <w:rsid w:val="003561ED"/>
    <w:rsid w:val="00356510"/>
    <w:rsid w:val="00357ACA"/>
    <w:rsid w:val="00366499"/>
    <w:rsid w:val="003769BF"/>
    <w:rsid w:val="003960BE"/>
    <w:rsid w:val="00396DF9"/>
    <w:rsid w:val="003A3CF3"/>
    <w:rsid w:val="003B13E1"/>
    <w:rsid w:val="003B5EAF"/>
    <w:rsid w:val="003C0367"/>
    <w:rsid w:val="003C448C"/>
    <w:rsid w:val="003C6B24"/>
    <w:rsid w:val="003C7183"/>
    <w:rsid w:val="003D01D5"/>
    <w:rsid w:val="003E646D"/>
    <w:rsid w:val="003F325F"/>
    <w:rsid w:val="003F710D"/>
    <w:rsid w:val="00400175"/>
    <w:rsid w:val="004035E8"/>
    <w:rsid w:val="00404594"/>
    <w:rsid w:val="00411405"/>
    <w:rsid w:val="004167AE"/>
    <w:rsid w:val="00426306"/>
    <w:rsid w:val="004271F1"/>
    <w:rsid w:val="00435A2C"/>
    <w:rsid w:val="00441C89"/>
    <w:rsid w:val="004448F2"/>
    <w:rsid w:val="00446BD9"/>
    <w:rsid w:val="00450069"/>
    <w:rsid w:val="00454B8F"/>
    <w:rsid w:val="00454D12"/>
    <w:rsid w:val="00461B7F"/>
    <w:rsid w:val="00467ADB"/>
    <w:rsid w:val="00470E95"/>
    <w:rsid w:val="004800A7"/>
    <w:rsid w:val="00480222"/>
    <w:rsid w:val="004856BD"/>
    <w:rsid w:val="004919EC"/>
    <w:rsid w:val="004A1ADC"/>
    <w:rsid w:val="004C1437"/>
    <w:rsid w:val="004C2635"/>
    <w:rsid w:val="004C7135"/>
    <w:rsid w:val="004D07E2"/>
    <w:rsid w:val="004D6F8F"/>
    <w:rsid w:val="004E0C17"/>
    <w:rsid w:val="004E39B0"/>
    <w:rsid w:val="004F1CD7"/>
    <w:rsid w:val="004F1E9F"/>
    <w:rsid w:val="004F6EDF"/>
    <w:rsid w:val="00501657"/>
    <w:rsid w:val="005019CE"/>
    <w:rsid w:val="005111DB"/>
    <w:rsid w:val="00520F29"/>
    <w:rsid w:val="005231AE"/>
    <w:rsid w:val="00523D42"/>
    <w:rsid w:val="005276BB"/>
    <w:rsid w:val="00530368"/>
    <w:rsid w:val="00542449"/>
    <w:rsid w:val="005425CF"/>
    <w:rsid w:val="00545429"/>
    <w:rsid w:val="005675CA"/>
    <w:rsid w:val="005837CC"/>
    <w:rsid w:val="0059223A"/>
    <w:rsid w:val="00593B48"/>
    <w:rsid w:val="005A766C"/>
    <w:rsid w:val="005B0574"/>
    <w:rsid w:val="005B0954"/>
    <w:rsid w:val="005B42C7"/>
    <w:rsid w:val="005E0728"/>
    <w:rsid w:val="005E205F"/>
    <w:rsid w:val="005E7AEB"/>
    <w:rsid w:val="005F1AEB"/>
    <w:rsid w:val="005F2330"/>
    <w:rsid w:val="005F3AEE"/>
    <w:rsid w:val="00607CB5"/>
    <w:rsid w:val="00613C89"/>
    <w:rsid w:val="006166B7"/>
    <w:rsid w:val="00621A46"/>
    <w:rsid w:val="00627A08"/>
    <w:rsid w:val="0063563A"/>
    <w:rsid w:val="0064014E"/>
    <w:rsid w:val="006467F6"/>
    <w:rsid w:val="00651400"/>
    <w:rsid w:val="00657344"/>
    <w:rsid w:val="00660F45"/>
    <w:rsid w:val="00677B57"/>
    <w:rsid w:val="006A759D"/>
    <w:rsid w:val="006B064B"/>
    <w:rsid w:val="006B7BF8"/>
    <w:rsid w:val="006C35A8"/>
    <w:rsid w:val="006C4164"/>
    <w:rsid w:val="006D119F"/>
    <w:rsid w:val="006D47C1"/>
    <w:rsid w:val="006D762A"/>
    <w:rsid w:val="006E0FBA"/>
    <w:rsid w:val="006E1ECA"/>
    <w:rsid w:val="006E509A"/>
    <w:rsid w:val="007116B2"/>
    <w:rsid w:val="007228D2"/>
    <w:rsid w:val="00735728"/>
    <w:rsid w:val="00741798"/>
    <w:rsid w:val="00741E7D"/>
    <w:rsid w:val="00752437"/>
    <w:rsid w:val="0075471E"/>
    <w:rsid w:val="00754D9F"/>
    <w:rsid w:val="007565F9"/>
    <w:rsid w:val="007642F1"/>
    <w:rsid w:val="0076507F"/>
    <w:rsid w:val="00765A8D"/>
    <w:rsid w:val="007754D9"/>
    <w:rsid w:val="00792909"/>
    <w:rsid w:val="00793B7F"/>
    <w:rsid w:val="007A06F4"/>
    <w:rsid w:val="007A1185"/>
    <w:rsid w:val="007A1AAC"/>
    <w:rsid w:val="007A4517"/>
    <w:rsid w:val="007C3CAE"/>
    <w:rsid w:val="007C620E"/>
    <w:rsid w:val="007E0629"/>
    <w:rsid w:val="007E51E0"/>
    <w:rsid w:val="007F3C91"/>
    <w:rsid w:val="007F4B2B"/>
    <w:rsid w:val="007F4B86"/>
    <w:rsid w:val="00813035"/>
    <w:rsid w:val="0081775F"/>
    <w:rsid w:val="00825A0B"/>
    <w:rsid w:val="008301EE"/>
    <w:rsid w:val="00832971"/>
    <w:rsid w:val="00833BC8"/>
    <w:rsid w:val="00841D07"/>
    <w:rsid w:val="0084247F"/>
    <w:rsid w:val="00843F41"/>
    <w:rsid w:val="0084646F"/>
    <w:rsid w:val="008514ED"/>
    <w:rsid w:val="00855451"/>
    <w:rsid w:val="0085671A"/>
    <w:rsid w:val="008577CE"/>
    <w:rsid w:val="0086650B"/>
    <w:rsid w:val="00867E54"/>
    <w:rsid w:val="00881716"/>
    <w:rsid w:val="008849E6"/>
    <w:rsid w:val="00892B31"/>
    <w:rsid w:val="008934A8"/>
    <w:rsid w:val="00893E24"/>
    <w:rsid w:val="008970C2"/>
    <w:rsid w:val="008A15D0"/>
    <w:rsid w:val="008A181F"/>
    <w:rsid w:val="008B29CF"/>
    <w:rsid w:val="008C4D18"/>
    <w:rsid w:val="008E50C1"/>
    <w:rsid w:val="008E6F83"/>
    <w:rsid w:val="008F4310"/>
    <w:rsid w:val="008F589C"/>
    <w:rsid w:val="008F61D0"/>
    <w:rsid w:val="00903EE0"/>
    <w:rsid w:val="00905897"/>
    <w:rsid w:val="00905B5D"/>
    <w:rsid w:val="00906540"/>
    <w:rsid w:val="00906D4E"/>
    <w:rsid w:val="00917533"/>
    <w:rsid w:val="0092308D"/>
    <w:rsid w:val="00925BE9"/>
    <w:rsid w:val="00927BC9"/>
    <w:rsid w:val="0093674E"/>
    <w:rsid w:val="009443F4"/>
    <w:rsid w:val="009530C0"/>
    <w:rsid w:val="009532D8"/>
    <w:rsid w:val="009713E1"/>
    <w:rsid w:val="00971497"/>
    <w:rsid w:val="00973A0F"/>
    <w:rsid w:val="00974A1A"/>
    <w:rsid w:val="00976257"/>
    <w:rsid w:val="00987E46"/>
    <w:rsid w:val="009A0938"/>
    <w:rsid w:val="009A4685"/>
    <w:rsid w:val="009C2841"/>
    <w:rsid w:val="009C339A"/>
    <w:rsid w:val="009D1327"/>
    <w:rsid w:val="009D52D3"/>
    <w:rsid w:val="009E37CD"/>
    <w:rsid w:val="009E4009"/>
    <w:rsid w:val="009E788E"/>
    <w:rsid w:val="00A0206F"/>
    <w:rsid w:val="00A0499C"/>
    <w:rsid w:val="00A10DA7"/>
    <w:rsid w:val="00A13B3C"/>
    <w:rsid w:val="00A171B4"/>
    <w:rsid w:val="00A27227"/>
    <w:rsid w:val="00A278C6"/>
    <w:rsid w:val="00A37952"/>
    <w:rsid w:val="00A37DC8"/>
    <w:rsid w:val="00A40508"/>
    <w:rsid w:val="00A41298"/>
    <w:rsid w:val="00A42AAE"/>
    <w:rsid w:val="00A43DC2"/>
    <w:rsid w:val="00A65F2B"/>
    <w:rsid w:val="00A70401"/>
    <w:rsid w:val="00A81D8F"/>
    <w:rsid w:val="00A86A0B"/>
    <w:rsid w:val="00A915DC"/>
    <w:rsid w:val="00A94316"/>
    <w:rsid w:val="00A96332"/>
    <w:rsid w:val="00A97EE7"/>
    <w:rsid w:val="00AA7489"/>
    <w:rsid w:val="00AA75DD"/>
    <w:rsid w:val="00AB4958"/>
    <w:rsid w:val="00AC147E"/>
    <w:rsid w:val="00AD322A"/>
    <w:rsid w:val="00AD4E56"/>
    <w:rsid w:val="00AD6634"/>
    <w:rsid w:val="00AD6905"/>
    <w:rsid w:val="00AD6C2D"/>
    <w:rsid w:val="00AE0E0C"/>
    <w:rsid w:val="00AE2551"/>
    <w:rsid w:val="00AE6F8F"/>
    <w:rsid w:val="00AF0E17"/>
    <w:rsid w:val="00AF5C53"/>
    <w:rsid w:val="00AF612B"/>
    <w:rsid w:val="00B029A0"/>
    <w:rsid w:val="00B076D3"/>
    <w:rsid w:val="00B16E8A"/>
    <w:rsid w:val="00B2155C"/>
    <w:rsid w:val="00B22A5E"/>
    <w:rsid w:val="00B22CF9"/>
    <w:rsid w:val="00B2348D"/>
    <w:rsid w:val="00B26EEA"/>
    <w:rsid w:val="00B41DF4"/>
    <w:rsid w:val="00B4398C"/>
    <w:rsid w:val="00B52AC4"/>
    <w:rsid w:val="00B5780D"/>
    <w:rsid w:val="00B62E1F"/>
    <w:rsid w:val="00B6309C"/>
    <w:rsid w:val="00B640D3"/>
    <w:rsid w:val="00B64EF5"/>
    <w:rsid w:val="00B81A97"/>
    <w:rsid w:val="00B83516"/>
    <w:rsid w:val="00B846FD"/>
    <w:rsid w:val="00B868ED"/>
    <w:rsid w:val="00B87F07"/>
    <w:rsid w:val="00B92B26"/>
    <w:rsid w:val="00BA1112"/>
    <w:rsid w:val="00BA15CB"/>
    <w:rsid w:val="00BA2206"/>
    <w:rsid w:val="00BA539F"/>
    <w:rsid w:val="00BA5B3A"/>
    <w:rsid w:val="00BB0168"/>
    <w:rsid w:val="00BB3CA2"/>
    <w:rsid w:val="00BB53C8"/>
    <w:rsid w:val="00BC0BDD"/>
    <w:rsid w:val="00BC6244"/>
    <w:rsid w:val="00BC7965"/>
    <w:rsid w:val="00BE3E58"/>
    <w:rsid w:val="00BE4764"/>
    <w:rsid w:val="00BE6B0E"/>
    <w:rsid w:val="00BF332F"/>
    <w:rsid w:val="00BF6A79"/>
    <w:rsid w:val="00C01A7E"/>
    <w:rsid w:val="00C0457E"/>
    <w:rsid w:val="00C10B90"/>
    <w:rsid w:val="00C148ED"/>
    <w:rsid w:val="00C1699A"/>
    <w:rsid w:val="00C17AFE"/>
    <w:rsid w:val="00C26DFA"/>
    <w:rsid w:val="00C327AD"/>
    <w:rsid w:val="00C422F6"/>
    <w:rsid w:val="00C438AB"/>
    <w:rsid w:val="00C468B3"/>
    <w:rsid w:val="00C46BB0"/>
    <w:rsid w:val="00C53BF6"/>
    <w:rsid w:val="00C54B28"/>
    <w:rsid w:val="00C57109"/>
    <w:rsid w:val="00C72099"/>
    <w:rsid w:val="00C7588C"/>
    <w:rsid w:val="00C80699"/>
    <w:rsid w:val="00C81A31"/>
    <w:rsid w:val="00C91E96"/>
    <w:rsid w:val="00C961FE"/>
    <w:rsid w:val="00CA127A"/>
    <w:rsid w:val="00CA156E"/>
    <w:rsid w:val="00CA43C2"/>
    <w:rsid w:val="00CA6EBB"/>
    <w:rsid w:val="00CA7BFC"/>
    <w:rsid w:val="00CB3D17"/>
    <w:rsid w:val="00CB642F"/>
    <w:rsid w:val="00CB72C0"/>
    <w:rsid w:val="00CC0ECF"/>
    <w:rsid w:val="00CC4E47"/>
    <w:rsid w:val="00CC7771"/>
    <w:rsid w:val="00CD2E0A"/>
    <w:rsid w:val="00CE1886"/>
    <w:rsid w:val="00CF6459"/>
    <w:rsid w:val="00CF7811"/>
    <w:rsid w:val="00D01141"/>
    <w:rsid w:val="00D01A30"/>
    <w:rsid w:val="00D0305F"/>
    <w:rsid w:val="00D12856"/>
    <w:rsid w:val="00D20E2B"/>
    <w:rsid w:val="00D211D4"/>
    <w:rsid w:val="00D26979"/>
    <w:rsid w:val="00D36D10"/>
    <w:rsid w:val="00D37D76"/>
    <w:rsid w:val="00D40C3F"/>
    <w:rsid w:val="00D4291A"/>
    <w:rsid w:val="00D57BD3"/>
    <w:rsid w:val="00D6747A"/>
    <w:rsid w:val="00D72624"/>
    <w:rsid w:val="00D726AF"/>
    <w:rsid w:val="00D735F7"/>
    <w:rsid w:val="00D81647"/>
    <w:rsid w:val="00D87BB3"/>
    <w:rsid w:val="00D90129"/>
    <w:rsid w:val="00D90950"/>
    <w:rsid w:val="00DB176B"/>
    <w:rsid w:val="00DB7B67"/>
    <w:rsid w:val="00DC09E4"/>
    <w:rsid w:val="00DC0B85"/>
    <w:rsid w:val="00DC52CD"/>
    <w:rsid w:val="00DD13BB"/>
    <w:rsid w:val="00DD363C"/>
    <w:rsid w:val="00DF724B"/>
    <w:rsid w:val="00E05A26"/>
    <w:rsid w:val="00E25D45"/>
    <w:rsid w:val="00E269B4"/>
    <w:rsid w:val="00E30912"/>
    <w:rsid w:val="00E40BBD"/>
    <w:rsid w:val="00E41DF5"/>
    <w:rsid w:val="00E449B5"/>
    <w:rsid w:val="00E52151"/>
    <w:rsid w:val="00E545A0"/>
    <w:rsid w:val="00E715E5"/>
    <w:rsid w:val="00E74D54"/>
    <w:rsid w:val="00E74E19"/>
    <w:rsid w:val="00E76214"/>
    <w:rsid w:val="00E84A29"/>
    <w:rsid w:val="00EA309B"/>
    <w:rsid w:val="00EA7AE5"/>
    <w:rsid w:val="00EB088E"/>
    <w:rsid w:val="00EB31CB"/>
    <w:rsid w:val="00EB40CA"/>
    <w:rsid w:val="00EB5BDF"/>
    <w:rsid w:val="00EC1E68"/>
    <w:rsid w:val="00EC3C14"/>
    <w:rsid w:val="00EC726D"/>
    <w:rsid w:val="00ED0991"/>
    <w:rsid w:val="00ED1308"/>
    <w:rsid w:val="00EE1FBE"/>
    <w:rsid w:val="00EE283B"/>
    <w:rsid w:val="00EE2C17"/>
    <w:rsid w:val="00EE4A4F"/>
    <w:rsid w:val="00EE694B"/>
    <w:rsid w:val="00F01CFB"/>
    <w:rsid w:val="00F068C9"/>
    <w:rsid w:val="00F107FC"/>
    <w:rsid w:val="00F11ECF"/>
    <w:rsid w:val="00F16351"/>
    <w:rsid w:val="00F30AEA"/>
    <w:rsid w:val="00F3408B"/>
    <w:rsid w:val="00F4493C"/>
    <w:rsid w:val="00F45D43"/>
    <w:rsid w:val="00F45F2E"/>
    <w:rsid w:val="00F5212F"/>
    <w:rsid w:val="00F534D6"/>
    <w:rsid w:val="00F617AC"/>
    <w:rsid w:val="00F67F89"/>
    <w:rsid w:val="00F713A9"/>
    <w:rsid w:val="00F73B0B"/>
    <w:rsid w:val="00F7685A"/>
    <w:rsid w:val="00F77253"/>
    <w:rsid w:val="00F81B12"/>
    <w:rsid w:val="00F81E7E"/>
    <w:rsid w:val="00F84A3C"/>
    <w:rsid w:val="00F85D90"/>
    <w:rsid w:val="00F8613F"/>
    <w:rsid w:val="00F86D0F"/>
    <w:rsid w:val="00FA244F"/>
    <w:rsid w:val="00FB50F1"/>
    <w:rsid w:val="00FC7E70"/>
    <w:rsid w:val="00FD50FC"/>
    <w:rsid w:val="00FD58C5"/>
    <w:rsid w:val="00FE53B8"/>
    <w:rsid w:val="00FF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CB31"/>
  <w15:docId w15:val="{52FDD4DB-DBCF-4C5A-B5E1-0623262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35"/>
  </w:style>
  <w:style w:type="paragraph" w:styleId="Heading1">
    <w:name w:val="heading 1"/>
    <w:basedOn w:val="Normal"/>
    <w:next w:val="Normal"/>
    <w:link w:val="Heading1Char"/>
    <w:uiPriority w:val="9"/>
    <w:qFormat/>
    <w:rsid w:val="000C4E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61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77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771"/>
    <w:rPr>
      <w:sz w:val="20"/>
      <w:szCs w:val="20"/>
    </w:rPr>
  </w:style>
  <w:style w:type="character" w:styleId="FootnoteReference">
    <w:name w:val="footnote reference"/>
    <w:basedOn w:val="DefaultParagraphFont"/>
    <w:uiPriority w:val="99"/>
    <w:semiHidden/>
    <w:unhideWhenUsed/>
    <w:rsid w:val="00CC7771"/>
    <w:rPr>
      <w:vertAlign w:val="superscript"/>
    </w:rPr>
  </w:style>
  <w:style w:type="paragraph" w:styleId="NormalWeb">
    <w:name w:val="Normal (Web)"/>
    <w:basedOn w:val="Normal"/>
    <w:uiPriority w:val="99"/>
    <w:unhideWhenUsed/>
    <w:rsid w:val="00302D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2A2F64"/>
    <w:pPr>
      <w:ind w:left="720"/>
      <w:contextualSpacing/>
    </w:pPr>
  </w:style>
  <w:style w:type="character" w:styleId="Strong">
    <w:name w:val="Strong"/>
    <w:basedOn w:val="DefaultParagraphFont"/>
    <w:uiPriority w:val="22"/>
    <w:qFormat/>
    <w:rsid w:val="00D72624"/>
    <w:rPr>
      <w:b/>
      <w:bCs/>
    </w:rPr>
  </w:style>
  <w:style w:type="character" w:styleId="Hyperlink">
    <w:name w:val="Hyperlink"/>
    <w:basedOn w:val="DefaultParagraphFont"/>
    <w:uiPriority w:val="99"/>
    <w:unhideWhenUsed/>
    <w:rsid w:val="00D72624"/>
    <w:rPr>
      <w:color w:val="0000FF"/>
      <w:u w:val="single"/>
    </w:rPr>
  </w:style>
  <w:style w:type="character" w:customStyle="1" w:styleId="UnresolvedMention1">
    <w:name w:val="Unresolved Mention1"/>
    <w:basedOn w:val="DefaultParagraphFont"/>
    <w:uiPriority w:val="99"/>
    <w:semiHidden/>
    <w:unhideWhenUsed/>
    <w:rsid w:val="00C0457E"/>
    <w:rPr>
      <w:color w:val="605E5C"/>
      <w:shd w:val="clear" w:color="auto" w:fill="E1DFDD"/>
    </w:rPr>
  </w:style>
  <w:style w:type="paragraph" w:styleId="Header">
    <w:name w:val="header"/>
    <w:basedOn w:val="Normal"/>
    <w:link w:val="HeaderChar"/>
    <w:uiPriority w:val="99"/>
    <w:unhideWhenUsed/>
    <w:rsid w:val="00C0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57E"/>
  </w:style>
  <w:style w:type="paragraph" w:styleId="Footer">
    <w:name w:val="footer"/>
    <w:basedOn w:val="Normal"/>
    <w:link w:val="FooterChar"/>
    <w:uiPriority w:val="99"/>
    <w:unhideWhenUsed/>
    <w:rsid w:val="00C0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57E"/>
  </w:style>
  <w:style w:type="paragraph" w:styleId="ListBullet2">
    <w:name w:val="List Bullet 2"/>
    <w:basedOn w:val="Normal"/>
    <w:uiPriority w:val="99"/>
    <w:unhideWhenUsed/>
    <w:rsid w:val="00752437"/>
    <w:pPr>
      <w:numPr>
        <w:numId w:val="1"/>
      </w:numPr>
      <w:contextualSpacing/>
    </w:pPr>
  </w:style>
  <w:style w:type="paragraph" w:customStyle="1" w:styleId="Text">
    <w:name w:val="Text"/>
    <w:basedOn w:val="Normal"/>
    <w:rsid w:val="00D01141"/>
    <w:pPr>
      <w:overflowPunct w:val="0"/>
      <w:autoSpaceDE w:val="0"/>
      <w:autoSpaceDN w:val="0"/>
      <w:adjustRightInd w:val="0"/>
      <w:spacing w:before="130" w:after="0" w:line="240" w:lineRule="auto"/>
      <w:jc w:val="both"/>
      <w:textAlignment w:val="baseline"/>
    </w:pPr>
    <w:rPr>
      <w:rFonts w:ascii="Arial" w:eastAsia="Times New Roman" w:hAnsi="Arial" w:cs="Times New Roman"/>
      <w:sz w:val="20"/>
      <w:szCs w:val="20"/>
    </w:rPr>
  </w:style>
  <w:style w:type="table" w:styleId="TableGrid">
    <w:name w:val="Table Grid"/>
    <w:basedOn w:val="TableNormal"/>
    <w:uiPriority w:val="39"/>
    <w:rsid w:val="00BC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4E7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44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93C"/>
    <w:rPr>
      <w:rFonts w:ascii="Segoe UI" w:hAnsi="Segoe UI" w:cs="Segoe UI"/>
      <w:sz w:val="18"/>
      <w:szCs w:val="18"/>
    </w:rPr>
  </w:style>
  <w:style w:type="character" w:styleId="CommentReference">
    <w:name w:val="annotation reference"/>
    <w:basedOn w:val="DefaultParagraphFont"/>
    <w:uiPriority w:val="99"/>
    <w:semiHidden/>
    <w:unhideWhenUsed/>
    <w:rsid w:val="006C4164"/>
    <w:rPr>
      <w:sz w:val="16"/>
      <w:szCs w:val="16"/>
    </w:rPr>
  </w:style>
  <w:style w:type="paragraph" w:styleId="CommentText">
    <w:name w:val="annotation text"/>
    <w:basedOn w:val="Normal"/>
    <w:link w:val="CommentTextChar"/>
    <w:uiPriority w:val="99"/>
    <w:semiHidden/>
    <w:unhideWhenUsed/>
    <w:rsid w:val="006C416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C4164"/>
    <w:rPr>
      <w:sz w:val="20"/>
      <w:szCs w:val="20"/>
    </w:rPr>
  </w:style>
  <w:style w:type="paragraph" w:customStyle="1" w:styleId="Bulletred">
    <w:name w:val="Bullet red"/>
    <w:basedOn w:val="ListParagraph"/>
    <w:qFormat/>
    <w:rsid w:val="005111DB"/>
    <w:pPr>
      <w:spacing w:before="120" w:after="0" w:line="240" w:lineRule="auto"/>
      <w:ind w:hanging="360"/>
      <w:contextualSpacing w:val="0"/>
      <w:jc w:val="both"/>
    </w:pPr>
  </w:style>
  <w:style w:type="table" w:customStyle="1" w:styleId="TableGrid1">
    <w:name w:val="Table Grid1"/>
    <w:basedOn w:val="TableNormal"/>
    <w:next w:val="TableGrid"/>
    <w:uiPriority w:val="39"/>
    <w:rsid w:val="00B6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locked/>
    <w:rsid w:val="00337DA4"/>
  </w:style>
  <w:style w:type="paragraph" w:customStyle="1" w:styleId="entry-header">
    <w:name w:val="entry-header"/>
    <w:basedOn w:val="Normal"/>
    <w:rsid w:val="009E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estionvalue1">
    <w:name w:val="questionvalue1"/>
    <w:basedOn w:val="DefaultParagraphFont"/>
    <w:rsid w:val="007F4B2B"/>
    <w:rPr>
      <w:rFonts w:ascii="Arial" w:hAnsi="Arial" w:cs="Arial" w:hint="default"/>
      <w:color w:val="000000"/>
      <w:sz w:val="20"/>
      <w:szCs w:val="20"/>
    </w:rPr>
  </w:style>
  <w:style w:type="paragraph" w:styleId="CommentSubject">
    <w:name w:val="annotation subject"/>
    <w:basedOn w:val="CommentText"/>
    <w:next w:val="CommentText"/>
    <w:link w:val="CommentSubjectChar"/>
    <w:uiPriority w:val="99"/>
    <w:semiHidden/>
    <w:unhideWhenUsed/>
    <w:rsid w:val="00CF6459"/>
    <w:pPr>
      <w:spacing w:after="200"/>
    </w:pPr>
    <w:rPr>
      <w:b/>
      <w:bCs/>
    </w:rPr>
  </w:style>
  <w:style w:type="character" w:customStyle="1" w:styleId="CommentSubjectChar">
    <w:name w:val="Comment Subject Char"/>
    <w:basedOn w:val="CommentTextChar"/>
    <w:link w:val="CommentSubject"/>
    <w:uiPriority w:val="99"/>
    <w:semiHidden/>
    <w:rsid w:val="00CF6459"/>
    <w:rPr>
      <w:b/>
      <w:bCs/>
      <w:sz w:val="20"/>
      <w:szCs w:val="20"/>
    </w:rPr>
  </w:style>
  <w:style w:type="paragraph" w:styleId="Revision">
    <w:name w:val="Revision"/>
    <w:hidden/>
    <w:uiPriority w:val="99"/>
    <w:semiHidden/>
    <w:rsid w:val="005425CF"/>
    <w:pPr>
      <w:spacing w:after="0" w:line="240" w:lineRule="auto"/>
    </w:pPr>
  </w:style>
  <w:style w:type="character" w:customStyle="1" w:styleId="Heading2Char">
    <w:name w:val="Heading 2 Char"/>
    <w:basedOn w:val="DefaultParagraphFont"/>
    <w:link w:val="Heading2"/>
    <w:uiPriority w:val="9"/>
    <w:rsid w:val="00F8613F"/>
    <w:rPr>
      <w:rFonts w:asciiTheme="majorHAnsi" w:eastAsiaTheme="majorEastAsia" w:hAnsiTheme="majorHAnsi" w:cstheme="majorBidi"/>
      <w:color w:val="365F91" w:themeColor="accent1" w:themeShade="BF"/>
      <w:sz w:val="26"/>
      <w:szCs w:val="26"/>
    </w:rPr>
  </w:style>
  <w:style w:type="paragraph" w:customStyle="1" w:styleId="bullet1">
    <w:name w:val="bullet 1"/>
    <w:basedOn w:val="Normal"/>
    <w:rsid w:val="00CE1886"/>
    <w:pPr>
      <w:numPr>
        <w:numId w:val="38"/>
      </w:numPr>
      <w:spacing w:after="160" w:line="259" w:lineRule="auto"/>
    </w:pPr>
  </w:style>
  <w:style w:type="paragraph" w:customStyle="1" w:styleId="Default">
    <w:name w:val="Default"/>
    <w:rsid w:val="00BA2206"/>
    <w:pPr>
      <w:autoSpaceDE w:val="0"/>
      <w:autoSpaceDN w:val="0"/>
      <w:adjustRightInd w:val="0"/>
      <w:spacing w:after="0" w:line="240" w:lineRule="auto"/>
    </w:pPr>
    <w:rPr>
      <w:rFonts w:ascii="Calibri" w:hAnsi="Calibri" w:cs="Calibri"/>
      <w:color w:val="000000"/>
      <w:sz w:val="24"/>
      <w:szCs w:val="24"/>
    </w:rPr>
  </w:style>
  <w:style w:type="character" w:customStyle="1" w:styleId="AmionBodyTextChar">
    <w:name w:val="Amion Body Text Char"/>
    <w:basedOn w:val="DefaultParagraphFont"/>
    <w:link w:val="AmionBodyText"/>
    <w:locked/>
    <w:rsid w:val="00BB0168"/>
    <w:rPr>
      <w:rFonts w:ascii="Times New Roman" w:eastAsiaTheme="minorEastAsia" w:hAnsi="Times New Roman" w:cs="Times New Roman"/>
      <w:lang w:val="en-US" w:bidi="en-US"/>
    </w:rPr>
  </w:style>
  <w:style w:type="paragraph" w:customStyle="1" w:styleId="AmionBodyText">
    <w:name w:val="Amion Body Text"/>
    <w:link w:val="AmionBodyTextChar"/>
    <w:qFormat/>
    <w:rsid w:val="00BB0168"/>
    <w:pPr>
      <w:spacing w:before="130" w:after="0" w:line="240" w:lineRule="auto"/>
      <w:ind w:left="737"/>
      <w:jc w:val="both"/>
    </w:pPr>
    <w:rPr>
      <w:rFonts w:ascii="Times New Roman" w:eastAsiaTheme="minorEastAsia" w:hAnsi="Times New Roman" w:cs="Times New Roman"/>
      <w:lang w:val="en-US" w:bidi="en-US"/>
    </w:rPr>
  </w:style>
  <w:style w:type="paragraph" w:customStyle="1" w:styleId="BodyText1">
    <w:name w:val="Body Text1"/>
    <w:basedOn w:val="Normal"/>
    <w:rsid w:val="007228D2"/>
    <w:pPr>
      <w:overflowPunct w:val="0"/>
      <w:autoSpaceDE w:val="0"/>
      <w:autoSpaceDN w:val="0"/>
      <w:spacing w:after="120" w:line="240" w:lineRule="auto"/>
    </w:pPr>
    <w:rPr>
      <w:rFonts w:ascii="Gill Sans" w:hAnsi="Gill San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297">
      <w:bodyDiv w:val="1"/>
      <w:marLeft w:val="0"/>
      <w:marRight w:val="0"/>
      <w:marTop w:val="0"/>
      <w:marBottom w:val="0"/>
      <w:divBdr>
        <w:top w:val="none" w:sz="0" w:space="0" w:color="auto"/>
        <w:left w:val="none" w:sz="0" w:space="0" w:color="auto"/>
        <w:bottom w:val="none" w:sz="0" w:space="0" w:color="auto"/>
        <w:right w:val="none" w:sz="0" w:space="0" w:color="auto"/>
      </w:divBdr>
    </w:div>
    <w:div w:id="27343177">
      <w:bodyDiv w:val="1"/>
      <w:marLeft w:val="0"/>
      <w:marRight w:val="0"/>
      <w:marTop w:val="0"/>
      <w:marBottom w:val="0"/>
      <w:divBdr>
        <w:top w:val="none" w:sz="0" w:space="0" w:color="auto"/>
        <w:left w:val="none" w:sz="0" w:space="0" w:color="auto"/>
        <w:bottom w:val="none" w:sz="0" w:space="0" w:color="auto"/>
        <w:right w:val="none" w:sz="0" w:space="0" w:color="auto"/>
      </w:divBdr>
    </w:div>
    <w:div w:id="79721835">
      <w:bodyDiv w:val="1"/>
      <w:marLeft w:val="0"/>
      <w:marRight w:val="0"/>
      <w:marTop w:val="0"/>
      <w:marBottom w:val="0"/>
      <w:divBdr>
        <w:top w:val="none" w:sz="0" w:space="0" w:color="auto"/>
        <w:left w:val="none" w:sz="0" w:space="0" w:color="auto"/>
        <w:bottom w:val="none" w:sz="0" w:space="0" w:color="auto"/>
        <w:right w:val="none" w:sz="0" w:space="0" w:color="auto"/>
      </w:divBdr>
    </w:div>
    <w:div w:id="361590941">
      <w:bodyDiv w:val="1"/>
      <w:marLeft w:val="0"/>
      <w:marRight w:val="0"/>
      <w:marTop w:val="0"/>
      <w:marBottom w:val="0"/>
      <w:divBdr>
        <w:top w:val="none" w:sz="0" w:space="0" w:color="auto"/>
        <w:left w:val="none" w:sz="0" w:space="0" w:color="auto"/>
        <w:bottom w:val="none" w:sz="0" w:space="0" w:color="auto"/>
        <w:right w:val="none" w:sz="0" w:space="0" w:color="auto"/>
      </w:divBdr>
    </w:div>
    <w:div w:id="373313663">
      <w:bodyDiv w:val="1"/>
      <w:marLeft w:val="0"/>
      <w:marRight w:val="0"/>
      <w:marTop w:val="0"/>
      <w:marBottom w:val="0"/>
      <w:divBdr>
        <w:top w:val="none" w:sz="0" w:space="0" w:color="auto"/>
        <w:left w:val="none" w:sz="0" w:space="0" w:color="auto"/>
        <w:bottom w:val="none" w:sz="0" w:space="0" w:color="auto"/>
        <w:right w:val="none" w:sz="0" w:space="0" w:color="auto"/>
      </w:divBdr>
    </w:div>
    <w:div w:id="398133652">
      <w:bodyDiv w:val="1"/>
      <w:marLeft w:val="0"/>
      <w:marRight w:val="0"/>
      <w:marTop w:val="0"/>
      <w:marBottom w:val="0"/>
      <w:divBdr>
        <w:top w:val="none" w:sz="0" w:space="0" w:color="auto"/>
        <w:left w:val="none" w:sz="0" w:space="0" w:color="auto"/>
        <w:bottom w:val="none" w:sz="0" w:space="0" w:color="auto"/>
        <w:right w:val="none" w:sz="0" w:space="0" w:color="auto"/>
      </w:divBdr>
    </w:div>
    <w:div w:id="413553604">
      <w:bodyDiv w:val="1"/>
      <w:marLeft w:val="0"/>
      <w:marRight w:val="0"/>
      <w:marTop w:val="0"/>
      <w:marBottom w:val="0"/>
      <w:divBdr>
        <w:top w:val="none" w:sz="0" w:space="0" w:color="auto"/>
        <w:left w:val="none" w:sz="0" w:space="0" w:color="auto"/>
        <w:bottom w:val="none" w:sz="0" w:space="0" w:color="auto"/>
        <w:right w:val="none" w:sz="0" w:space="0" w:color="auto"/>
      </w:divBdr>
    </w:div>
    <w:div w:id="561214232">
      <w:bodyDiv w:val="1"/>
      <w:marLeft w:val="0"/>
      <w:marRight w:val="0"/>
      <w:marTop w:val="0"/>
      <w:marBottom w:val="0"/>
      <w:divBdr>
        <w:top w:val="none" w:sz="0" w:space="0" w:color="auto"/>
        <w:left w:val="none" w:sz="0" w:space="0" w:color="auto"/>
        <w:bottom w:val="none" w:sz="0" w:space="0" w:color="auto"/>
        <w:right w:val="none" w:sz="0" w:space="0" w:color="auto"/>
      </w:divBdr>
    </w:div>
    <w:div w:id="602496380">
      <w:bodyDiv w:val="1"/>
      <w:marLeft w:val="0"/>
      <w:marRight w:val="0"/>
      <w:marTop w:val="0"/>
      <w:marBottom w:val="0"/>
      <w:divBdr>
        <w:top w:val="none" w:sz="0" w:space="0" w:color="auto"/>
        <w:left w:val="none" w:sz="0" w:space="0" w:color="auto"/>
        <w:bottom w:val="none" w:sz="0" w:space="0" w:color="auto"/>
        <w:right w:val="none" w:sz="0" w:space="0" w:color="auto"/>
      </w:divBdr>
    </w:div>
    <w:div w:id="617373139">
      <w:bodyDiv w:val="1"/>
      <w:marLeft w:val="0"/>
      <w:marRight w:val="0"/>
      <w:marTop w:val="0"/>
      <w:marBottom w:val="0"/>
      <w:divBdr>
        <w:top w:val="none" w:sz="0" w:space="0" w:color="auto"/>
        <w:left w:val="none" w:sz="0" w:space="0" w:color="auto"/>
        <w:bottom w:val="none" w:sz="0" w:space="0" w:color="auto"/>
        <w:right w:val="none" w:sz="0" w:space="0" w:color="auto"/>
      </w:divBdr>
    </w:div>
    <w:div w:id="634526104">
      <w:bodyDiv w:val="1"/>
      <w:marLeft w:val="0"/>
      <w:marRight w:val="0"/>
      <w:marTop w:val="0"/>
      <w:marBottom w:val="0"/>
      <w:divBdr>
        <w:top w:val="none" w:sz="0" w:space="0" w:color="auto"/>
        <w:left w:val="none" w:sz="0" w:space="0" w:color="auto"/>
        <w:bottom w:val="none" w:sz="0" w:space="0" w:color="auto"/>
        <w:right w:val="none" w:sz="0" w:space="0" w:color="auto"/>
      </w:divBdr>
    </w:div>
    <w:div w:id="651519580">
      <w:bodyDiv w:val="1"/>
      <w:marLeft w:val="0"/>
      <w:marRight w:val="0"/>
      <w:marTop w:val="0"/>
      <w:marBottom w:val="0"/>
      <w:divBdr>
        <w:top w:val="none" w:sz="0" w:space="0" w:color="auto"/>
        <w:left w:val="none" w:sz="0" w:space="0" w:color="auto"/>
        <w:bottom w:val="none" w:sz="0" w:space="0" w:color="auto"/>
        <w:right w:val="none" w:sz="0" w:space="0" w:color="auto"/>
      </w:divBdr>
    </w:div>
    <w:div w:id="664020327">
      <w:bodyDiv w:val="1"/>
      <w:marLeft w:val="0"/>
      <w:marRight w:val="0"/>
      <w:marTop w:val="0"/>
      <w:marBottom w:val="0"/>
      <w:divBdr>
        <w:top w:val="none" w:sz="0" w:space="0" w:color="auto"/>
        <w:left w:val="none" w:sz="0" w:space="0" w:color="auto"/>
        <w:bottom w:val="none" w:sz="0" w:space="0" w:color="auto"/>
        <w:right w:val="none" w:sz="0" w:space="0" w:color="auto"/>
      </w:divBdr>
    </w:div>
    <w:div w:id="733822947">
      <w:bodyDiv w:val="1"/>
      <w:marLeft w:val="0"/>
      <w:marRight w:val="0"/>
      <w:marTop w:val="0"/>
      <w:marBottom w:val="0"/>
      <w:divBdr>
        <w:top w:val="none" w:sz="0" w:space="0" w:color="auto"/>
        <w:left w:val="none" w:sz="0" w:space="0" w:color="auto"/>
        <w:bottom w:val="none" w:sz="0" w:space="0" w:color="auto"/>
        <w:right w:val="none" w:sz="0" w:space="0" w:color="auto"/>
      </w:divBdr>
    </w:div>
    <w:div w:id="742802352">
      <w:bodyDiv w:val="1"/>
      <w:marLeft w:val="0"/>
      <w:marRight w:val="0"/>
      <w:marTop w:val="0"/>
      <w:marBottom w:val="0"/>
      <w:divBdr>
        <w:top w:val="none" w:sz="0" w:space="0" w:color="auto"/>
        <w:left w:val="none" w:sz="0" w:space="0" w:color="auto"/>
        <w:bottom w:val="none" w:sz="0" w:space="0" w:color="auto"/>
        <w:right w:val="none" w:sz="0" w:space="0" w:color="auto"/>
      </w:divBdr>
    </w:div>
    <w:div w:id="751004148">
      <w:bodyDiv w:val="1"/>
      <w:marLeft w:val="0"/>
      <w:marRight w:val="0"/>
      <w:marTop w:val="0"/>
      <w:marBottom w:val="0"/>
      <w:divBdr>
        <w:top w:val="none" w:sz="0" w:space="0" w:color="auto"/>
        <w:left w:val="none" w:sz="0" w:space="0" w:color="auto"/>
        <w:bottom w:val="none" w:sz="0" w:space="0" w:color="auto"/>
        <w:right w:val="none" w:sz="0" w:space="0" w:color="auto"/>
      </w:divBdr>
    </w:div>
    <w:div w:id="764346482">
      <w:bodyDiv w:val="1"/>
      <w:marLeft w:val="0"/>
      <w:marRight w:val="0"/>
      <w:marTop w:val="0"/>
      <w:marBottom w:val="0"/>
      <w:divBdr>
        <w:top w:val="none" w:sz="0" w:space="0" w:color="auto"/>
        <w:left w:val="none" w:sz="0" w:space="0" w:color="auto"/>
        <w:bottom w:val="none" w:sz="0" w:space="0" w:color="auto"/>
        <w:right w:val="none" w:sz="0" w:space="0" w:color="auto"/>
      </w:divBdr>
    </w:div>
    <w:div w:id="849104891">
      <w:bodyDiv w:val="1"/>
      <w:marLeft w:val="0"/>
      <w:marRight w:val="0"/>
      <w:marTop w:val="0"/>
      <w:marBottom w:val="0"/>
      <w:divBdr>
        <w:top w:val="none" w:sz="0" w:space="0" w:color="auto"/>
        <w:left w:val="none" w:sz="0" w:space="0" w:color="auto"/>
        <w:bottom w:val="none" w:sz="0" w:space="0" w:color="auto"/>
        <w:right w:val="none" w:sz="0" w:space="0" w:color="auto"/>
      </w:divBdr>
    </w:div>
    <w:div w:id="862670837">
      <w:bodyDiv w:val="1"/>
      <w:marLeft w:val="0"/>
      <w:marRight w:val="0"/>
      <w:marTop w:val="0"/>
      <w:marBottom w:val="0"/>
      <w:divBdr>
        <w:top w:val="none" w:sz="0" w:space="0" w:color="auto"/>
        <w:left w:val="none" w:sz="0" w:space="0" w:color="auto"/>
        <w:bottom w:val="none" w:sz="0" w:space="0" w:color="auto"/>
        <w:right w:val="none" w:sz="0" w:space="0" w:color="auto"/>
      </w:divBdr>
    </w:div>
    <w:div w:id="900402970">
      <w:bodyDiv w:val="1"/>
      <w:marLeft w:val="0"/>
      <w:marRight w:val="0"/>
      <w:marTop w:val="0"/>
      <w:marBottom w:val="0"/>
      <w:divBdr>
        <w:top w:val="none" w:sz="0" w:space="0" w:color="auto"/>
        <w:left w:val="none" w:sz="0" w:space="0" w:color="auto"/>
        <w:bottom w:val="none" w:sz="0" w:space="0" w:color="auto"/>
        <w:right w:val="none" w:sz="0" w:space="0" w:color="auto"/>
      </w:divBdr>
    </w:div>
    <w:div w:id="905143298">
      <w:bodyDiv w:val="1"/>
      <w:marLeft w:val="0"/>
      <w:marRight w:val="0"/>
      <w:marTop w:val="0"/>
      <w:marBottom w:val="0"/>
      <w:divBdr>
        <w:top w:val="none" w:sz="0" w:space="0" w:color="auto"/>
        <w:left w:val="none" w:sz="0" w:space="0" w:color="auto"/>
        <w:bottom w:val="none" w:sz="0" w:space="0" w:color="auto"/>
        <w:right w:val="none" w:sz="0" w:space="0" w:color="auto"/>
      </w:divBdr>
    </w:div>
    <w:div w:id="1066219351">
      <w:bodyDiv w:val="1"/>
      <w:marLeft w:val="0"/>
      <w:marRight w:val="0"/>
      <w:marTop w:val="0"/>
      <w:marBottom w:val="0"/>
      <w:divBdr>
        <w:top w:val="none" w:sz="0" w:space="0" w:color="auto"/>
        <w:left w:val="none" w:sz="0" w:space="0" w:color="auto"/>
        <w:bottom w:val="none" w:sz="0" w:space="0" w:color="auto"/>
        <w:right w:val="none" w:sz="0" w:space="0" w:color="auto"/>
      </w:divBdr>
    </w:div>
    <w:div w:id="1099984296">
      <w:bodyDiv w:val="1"/>
      <w:marLeft w:val="0"/>
      <w:marRight w:val="0"/>
      <w:marTop w:val="0"/>
      <w:marBottom w:val="0"/>
      <w:divBdr>
        <w:top w:val="none" w:sz="0" w:space="0" w:color="auto"/>
        <w:left w:val="none" w:sz="0" w:space="0" w:color="auto"/>
        <w:bottom w:val="none" w:sz="0" w:space="0" w:color="auto"/>
        <w:right w:val="none" w:sz="0" w:space="0" w:color="auto"/>
      </w:divBdr>
    </w:div>
    <w:div w:id="1120686631">
      <w:bodyDiv w:val="1"/>
      <w:marLeft w:val="0"/>
      <w:marRight w:val="0"/>
      <w:marTop w:val="0"/>
      <w:marBottom w:val="0"/>
      <w:divBdr>
        <w:top w:val="none" w:sz="0" w:space="0" w:color="auto"/>
        <w:left w:val="none" w:sz="0" w:space="0" w:color="auto"/>
        <w:bottom w:val="none" w:sz="0" w:space="0" w:color="auto"/>
        <w:right w:val="none" w:sz="0" w:space="0" w:color="auto"/>
      </w:divBdr>
    </w:div>
    <w:div w:id="1165391804">
      <w:bodyDiv w:val="1"/>
      <w:marLeft w:val="0"/>
      <w:marRight w:val="0"/>
      <w:marTop w:val="0"/>
      <w:marBottom w:val="0"/>
      <w:divBdr>
        <w:top w:val="none" w:sz="0" w:space="0" w:color="auto"/>
        <w:left w:val="none" w:sz="0" w:space="0" w:color="auto"/>
        <w:bottom w:val="none" w:sz="0" w:space="0" w:color="auto"/>
        <w:right w:val="none" w:sz="0" w:space="0" w:color="auto"/>
      </w:divBdr>
    </w:div>
    <w:div w:id="1229655583">
      <w:bodyDiv w:val="1"/>
      <w:marLeft w:val="0"/>
      <w:marRight w:val="0"/>
      <w:marTop w:val="0"/>
      <w:marBottom w:val="0"/>
      <w:divBdr>
        <w:top w:val="none" w:sz="0" w:space="0" w:color="auto"/>
        <w:left w:val="none" w:sz="0" w:space="0" w:color="auto"/>
        <w:bottom w:val="none" w:sz="0" w:space="0" w:color="auto"/>
        <w:right w:val="none" w:sz="0" w:space="0" w:color="auto"/>
      </w:divBdr>
    </w:div>
    <w:div w:id="1304383648">
      <w:bodyDiv w:val="1"/>
      <w:marLeft w:val="0"/>
      <w:marRight w:val="0"/>
      <w:marTop w:val="0"/>
      <w:marBottom w:val="0"/>
      <w:divBdr>
        <w:top w:val="none" w:sz="0" w:space="0" w:color="auto"/>
        <w:left w:val="none" w:sz="0" w:space="0" w:color="auto"/>
        <w:bottom w:val="none" w:sz="0" w:space="0" w:color="auto"/>
        <w:right w:val="none" w:sz="0" w:space="0" w:color="auto"/>
      </w:divBdr>
    </w:div>
    <w:div w:id="1363676008">
      <w:bodyDiv w:val="1"/>
      <w:marLeft w:val="0"/>
      <w:marRight w:val="0"/>
      <w:marTop w:val="0"/>
      <w:marBottom w:val="0"/>
      <w:divBdr>
        <w:top w:val="none" w:sz="0" w:space="0" w:color="auto"/>
        <w:left w:val="none" w:sz="0" w:space="0" w:color="auto"/>
        <w:bottom w:val="none" w:sz="0" w:space="0" w:color="auto"/>
        <w:right w:val="none" w:sz="0" w:space="0" w:color="auto"/>
      </w:divBdr>
    </w:div>
    <w:div w:id="1380545598">
      <w:bodyDiv w:val="1"/>
      <w:marLeft w:val="0"/>
      <w:marRight w:val="0"/>
      <w:marTop w:val="0"/>
      <w:marBottom w:val="0"/>
      <w:divBdr>
        <w:top w:val="none" w:sz="0" w:space="0" w:color="auto"/>
        <w:left w:val="none" w:sz="0" w:space="0" w:color="auto"/>
        <w:bottom w:val="none" w:sz="0" w:space="0" w:color="auto"/>
        <w:right w:val="none" w:sz="0" w:space="0" w:color="auto"/>
      </w:divBdr>
    </w:div>
    <w:div w:id="1387024080">
      <w:bodyDiv w:val="1"/>
      <w:marLeft w:val="0"/>
      <w:marRight w:val="0"/>
      <w:marTop w:val="0"/>
      <w:marBottom w:val="0"/>
      <w:divBdr>
        <w:top w:val="none" w:sz="0" w:space="0" w:color="auto"/>
        <w:left w:val="none" w:sz="0" w:space="0" w:color="auto"/>
        <w:bottom w:val="none" w:sz="0" w:space="0" w:color="auto"/>
        <w:right w:val="none" w:sz="0" w:space="0" w:color="auto"/>
      </w:divBdr>
    </w:div>
    <w:div w:id="1451053776">
      <w:bodyDiv w:val="1"/>
      <w:marLeft w:val="0"/>
      <w:marRight w:val="0"/>
      <w:marTop w:val="0"/>
      <w:marBottom w:val="0"/>
      <w:divBdr>
        <w:top w:val="none" w:sz="0" w:space="0" w:color="auto"/>
        <w:left w:val="none" w:sz="0" w:space="0" w:color="auto"/>
        <w:bottom w:val="none" w:sz="0" w:space="0" w:color="auto"/>
        <w:right w:val="none" w:sz="0" w:space="0" w:color="auto"/>
      </w:divBdr>
    </w:div>
    <w:div w:id="1524126420">
      <w:bodyDiv w:val="1"/>
      <w:marLeft w:val="0"/>
      <w:marRight w:val="0"/>
      <w:marTop w:val="0"/>
      <w:marBottom w:val="0"/>
      <w:divBdr>
        <w:top w:val="none" w:sz="0" w:space="0" w:color="auto"/>
        <w:left w:val="none" w:sz="0" w:space="0" w:color="auto"/>
        <w:bottom w:val="none" w:sz="0" w:space="0" w:color="auto"/>
        <w:right w:val="none" w:sz="0" w:space="0" w:color="auto"/>
      </w:divBdr>
    </w:div>
    <w:div w:id="1666125083">
      <w:bodyDiv w:val="1"/>
      <w:marLeft w:val="0"/>
      <w:marRight w:val="0"/>
      <w:marTop w:val="0"/>
      <w:marBottom w:val="0"/>
      <w:divBdr>
        <w:top w:val="none" w:sz="0" w:space="0" w:color="auto"/>
        <w:left w:val="none" w:sz="0" w:space="0" w:color="auto"/>
        <w:bottom w:val="none" w:sz="0" w:space="0" w:color="auto"/>
        <w:right w:val="none" w:sz="0" w:space="0" w:color="auto"/>
      </w:divBdr>
    </w:div>
    <w:div w:id="1824157635">
      <w:bodyDiv w:val="1"/>
      <w:marLeft w:val="0"/>
      <w:marRight w:val="0"/>
      <w:marTop w:val="0"/>
      <w:marBottom w:val="0"/>
      <w:divBdr>
        <w:top w:val="none" w:sz="0" w:space="0" w:color="auto"/>
        <w:left w:val="none" w:sz="0" w:space="0" w:color="auto"/>
        <w:bottom w:val="none" w:sz="0" w:space="0" w:color="auto"/>
        <w:right w:val="none" w:sz="0" w:space="0" w:color="auto"/>
      </w:divBdr>
    </w:div>
    <w:div w:id="1911498008">
      <w:bodyDiv w:val="1"/>
      <w:marLeft w:val="0"/>
      <w:marRight w:val="0"/>
      <w:marTop w:val="0"/>
      <w:marBottom w:val="0"/>
      <w:divBdr>
        <w:top w:val="none" w:sz="0" w:space="0" w:color="auto"/>
        <w:left w:val="none" w:sz="0" w:space="0" w:color="auto"/>
        <w:bottom w:val="none" w:sz="0" w:space="0" w:color="auto"/>
        <w:right w:val="none" w:sz="0" w:space="0" w:color="auto"/>
      </w:divBdr>
    </w:div>
    <w:div w:id="1983194815">
      <w:bodyDiv w:val="1"/>
      <w:marLeft w:val="0"/>
      <w:marRight w:val="0"/>
      <w:marTop w:val="0"/>
      <w:marBottom w:val="0"/>
      <w:divBdr>
        <w:top w:val="none" w:sz="0" w:space="0" w:color="auto"/>
        <w:left w:val="none" w:sz="0" w:space="0" w:color="auto"/>
        <w:bottom w:val="none" w:sz="0" w:space="0" w:color="auto"/>
        <w:right w:val="none" w:sz="0" w:space="0" w:color="auto"/>
      </w:divBdr>
    </w:div>
    <w:div w:id="2008291010">
      <w:bodyDiv w:val="1"/>
      <w:marLeft w:val="0"/>
      <w:marRight w:val="0"/>
      <w:marTop w:val="0"/>
      <w:marBottom w:val="0"/>
      <w:divBdr>
        <w:top w:val="none" w:sz="0" w:space="0" w:color="auto"/>
        <w:left w:val="none" w:sz="0" w:space="0" w:color="auto"/>
        <w:bottom w:val="none" w:sz="0" w:space="0" w:color="auto"/>
        <w:right w:val="none" w:sz="0" w:space="0" w:color="auto"/>
      </w:divBdr>
    </w:div>
    <w:div w:id="2093625022">
      <w:bodyDiv w:val="1"/>
      <w:marLeft w:val="0"/>
      <w:marRight w:val="0"/>
      <w:marTop w:val="0"/>
      <w:marBottom w:val="0"/>
      <w:divBdr>
        <w:top w:val="none" w:sz="0" w:space="0" w:color="auto"/>
        <w:left w:val="none" w:sz="0" w:space="0" w:color="auto"/>
        <w:bottom w:val="none" w:sz="0" w:space="0" w:color="auto"/>
        <w:right w:val="none" w:sz="0" w:space="0" w:color="auto"/>
      </w:divBdr>
    </w:div>
    <w:div w:id="21299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E21D856C6A849A94EF81BED5BAC04" ma:contentTypeVersion="10" ma:contentTypeDescription="Create a new document." ma:contentTypeScope="" ma:versionID="0fd8446d6a0a3f94087e927248f7d3d4">
  <xsd:schema xmlns:xsd="http://www.w3.org/2001/XMLSchema" xmlns:xs="http://www.w3.org/2001/XMLSchema" xmlns:p="http://schemas.microsoft.com/office/2006/metadata/properties" xmlns:ns3="9e0c1831-d44c-4dd3-ae15-cceacf853db9" xmlns:ns4="74f4eab0-1c9f-4c6a-8b6d-fbf9f494024e" targetNamespace="http://schemas.microsoft.com/office/2006/metadata/properties" ma:root="true" ma:fieldsID="84384e78304ee02688d9ec08bc3cf1c6" ns3:_="" ns4:_="">
    <xsd:import namespace="9e0c1831-d44c-4dd3-ae15-cceacf853db9"/>
    <xsd:import namespace="74f4eab0-1c9f-4c6a-8b6d-fbf9f49402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c1831-d44c-4dd3-ae15-cceacf853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4eab0-1c9f-4c6a-8b6d-fbf9f49402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7EBE-6DA1-4516-B136-A0AF2F1CA406}">
  <ds:schemaRefs>
    <ds:schemaRef ds:uri="http://schemas.microsoft.com/sharepoint/v3/contenttype/forms"/>
  </ds:schemaRefs>
</ds:datastoreItem>
</file>

<file path=customXml/itemProps2.xml><?xml version="1.0" encoding="utf-8"?>
<ds:datastoreItem xmlns:ds="http://schemas.openxmlformats.org/officeDocument/2006/customXml" ds:itemID="{12B77289-E933-4495-822E-18FF64BEA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c1831-d44c-4dd3-ae15-cceacf853db9"/>
    <ds:schemaRef ds:uri="74f4eab0-1c9f-4c6a-8b6d-fbf9f4940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4EDEA-0930-441E-842F-D468732DE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8615C6-BF49-478C-8765-B3547969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JimT</dc:creator>
  <cp:lastModifiedBy>mariasalcedo</cp:lastModifiedBy>
  <cp:revision>3</cp:revision>
  <cp:lastPrinted>2020-07-06T15:23:00Z</cp:lastPrinted>
  <dcterms:created xsi:type="dcterms:W3CDTF">2020-12-01T10:02:00Z</dcterms:created>
  <dcterms:modified xsi:type="dcterms:W3CDTF">2020-12-01T12:45:00Z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0x010100CD8E21D856C6A849A94EF81BED5BAC04</vt:lpwstr>
  </property>
</Properties>
</file>