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E49E2" w14:textId="77777777" w:rsidR="005919B7" w:rsidRDefault="005919B7" w:rsidP="0080594B">
      <w:pPr>
        <w:pStyle w:val="Pagetitle"/>
        <w:spacing w:after="0"/>
        <w:rPr>
          <w:rFonts w:asciiTheme="minorHAnsi" w:hAnsiTheme="minorHAnsi" w:cstheme="minorHAnsi"/>
          <w:color w:val="0070C0"/>
        </w:rPr>
      </w:pPr>
      <w:r w:rsidRPr="00EB223B">
        <w:rPr>
          <w:rFonts w:asciiTheme="minorHAnsi" w:hAnsiTheme="minorHAnsi" w:cstheme="minorHAnsi"/>
          <w:color w:val="0070C0"/>
        </w:rPr>
        <w:t>Executive summary</w:t>
      </w:r>
    </w:p>
    <w:p w14:paraId="74453093" w14:textId="77777777" w:rsidR="005919B7" w:rsidRDefault="005919B7" w:rsidP="0080594B">
      <w:pPr>
        <w:jc w:val="both"/>
        <w:rPr>
          <w:rStyle w:val="ClientTitle"/>
          <w:rFonts w:asciiTheme="minorHAnsi" w:hAnsiTheme="minorHAnsi" w:cstheme="minorHAnsi"/>
          <w:b/>
          <w:color w:val="0070C0"/>
        </w:rPr>
      </w:pPr>
      <w:r w:rsidRPr="00420F57">
        <w:rPr>
          <w:rStyle w:val="ClientTitle"/>
          <w:rFonts w:asciiTheme="minorHAnsi" w:hAnsiTheme="minorHAnsi" w:cstheme="minorHAnsi"/>
          <w:b/>
          <w:color w:val="0070C0"/>
        </w:rPr>
        <w:t xml:space="preserve">Background to Dudley Town Deal </w:t>
      </w:r>
    </w:p>
    <w:p w14:paraId="1D657090" w14:textId="77777777" w:rsidR="005919B7" w:rsidRPr="005F54EB" w:rsidRDefault="005919B7" w:rsidP="005919B7">
      <w:pPr>
        <w:pStyle w:val="AmionBodyText"/>
        <w:spacing w:line="240" w:lineRule="auto"/>
        <w:rPr>
          <w:rFonts w:asciiTheme="minorHAnsi" w:hAnsiTheme="minorHAnsi" w:cstheme="minorHAnsi"/>
        </w:rPr>
      </w:pPr>
      <w:r w:rsidRPr="005F54EB">
        <w:rPr>
          <w:rFonts w:asciiTheme="minorHAnsi" w:hAnsiTheme="minorHAnsi" w:cstheme="minorHAnsi"/>
        </w:rPr>
        <w:t xml:space="preserve">Dudley has a rich cultural and industrial heritage and is often referred to as the historic capital of the Black Country. It was once a key industrial town generating wealth from coal and limestone mining, glassmaking and iron and steel and despite a decline in activity since the 1970’s the area has retained manufacturing as a core industry, which today employs 18,000 people and contributes 15% of the economy’s GVA. However, the reliance on manufacturing has resulted in a weakened economy in need of diversification, with lower levels of business enterprise and productivity compared with regional and national averages.  </w:t>
      </w:r>
    </w:p>
    <w:p w14:paraId="579C1336" w14:textId="77777777" w:rsidR="005919B7" w:rsidRPr="005F54EB" w:rsidRDefault="005919B7" w:rsidP="005919B7">
      <w:pPr>
        <w:pStyle w:val="AmionBodyText"/>
        <w:spacing w:line="240" w:lineRule="auto"/>
        <w:rPr>
          <w:rFonts w:asciiTheme="minorHAnsi" w:hAnsiTheme="minorHAnsi" w:cstheme="minorHAnsi"/>
        </w:rPr>
      </w:pPr>
      <w:r w:rsidRPr="005F54EB">
        <w:rPr>
          <w:rFonts w:asciiTheme="minorHAnsi" w:hAnsiTheme="minorHAnsi" w:cstheme="minorHAnsi"/>
        </w:rPr>
        <w:t xml:space="preserve">These trends are underpinned by relatively low skills levels and educational attainment amongst Dudley residents. The town struggles to retain higher-skilled workers in the area, as many commute out to Birmingham and the wider West Midlands conurbation.  The prevalence of lower value-added jobs within the workforce also presents a further challenge as a greater number of these jobs are at risk of automation in the future. Alongside concentrations of deprivation within the borough where disadvantaged communities are excluded from the </w:t>
      </w:r>
      <w:proofErr w:type="spellStart"/>
      <w:r w:rsidRPr="005F54EB">
        <w:rPr>
          <w:rFonts w:asciiTheme="minorHAnsi" w:hAnsiTheme="minorHAnsi" w:cstheme="minorHAnsi"/>
        </w:rPr>
        <w:t>labour</w:t>
      </w:r>
      <w:proofErr w:type="spellEnd"/>
      <w:r w:rsidRPr="005F54EB">
        <w:rPr>
          <w:rFonts w:asciiTheme="minorHAnsi" w:hAnsiTheme="minorHAnsi" w:cstheme="minorHAnsi"/>
        </w:rPr>
        <w:t xml:space="preserve"> market, there is a growing need for targeted intervention to ensure that residents can gain the skills and experience needed to enter and progress in the </w:t>
      </w:r>
      <w:proofErr w:type="spellStart"/>
      <w:r w:rsidRPr="005F54EB">
        <w:rPr>
          <w:rFonts w:asciiTheme="minorHAnsi" w:hAnsiTheme="minorHAnsi" w:cstheme="minorHAnsi"/>
        </w:rPr>
        <w:t>labour</w:t>
      </w:r>
      <w:proofErr w:type="spellEnd"/>
      <w:r w:rsidRPr="005F54EB">
        <w:rPr>
          <w:rFonts w:asciiTheme="minorHAnsi" w:hAnsiTheme="minorHAnsi" w:cstheme="minorHAnsi"/>
        </w:rPr>
        <w:t xml:space="preserve"> market, and businesses are able to attract highly skilled workers to improve their competitiveness.  </w:t>
      </w:r>
    </w:p>
    <w:p w14:paraId="1999E2B9" w14:textId="77777777" w:rsidR="005919B7" w:rsidRPr="005F54EB" w:rsidRDefault="005919B7" w:rsidP="005919B7">
      <w:pPr>
        <w:pStyle w:val="AmionBodyText"/>
        <w:spacing w:line="240" w:lineRule="auto"/>
        <w:rPr>
          <w:rFonts w:asciiTheme="minorHAnsi" w:eastAsia="Calibri" w:hAnsiTheme="minorHAnsi" w:cstheme="minorHAnsi"/>
        </w:rPr>
      </w:pPr>
      <w:r w:rsidRPr="005F54EB">
        <w:rPr>
          <w:rFonts w:asciiTheme="minorHAnsi" w:eastAsia="Calibri" w:hAnsiTheme="minorHAnsi" w:cstheme="minorHAnsi"/>
        </w:rPr>
        <w:t xml:space="preserve">To address some of these challenges, a structured series of public sector-led interventions have been successfully delivered in the town since 2012 with the aim of re-imagining and regenerating the town </w:t>
      </w:r>
      <w:proofErr w:type="spellStart"/>
      <w:r w:rsidRPr="005F54EB">
        <w:rPr>
          <w:rFonts w:asciiTheme="minorHAnsi" w:eastAsia="Calibri" w:hAnsiTheme="minorHAnsi" w:cstheme="minorHAnsi"/>
        </w:rPr>
        <w:t>centre</w:t>
      </w:r>
      <w:proofErr w:type="spellEnd"/>
      <w:r w:rsidRPr="005F54EB">
        <w:rPr>
          <w:rFonts w:asciiTheme="minorHAnsi" w:eastAsia="Calibri" w:hAnsiTheme="minorHAnsi" w:cstheme="minorHAnsi"/>
        </w:rPr>
        <w:t xml:space="preserve">.  These include: £11 million investment for the Castle Hill visitor attractions; construction of the new Dudley and </w:t>
      </w:r>
      <w:proofErr w:type="spellStart"/>
      <w:r w:rsidRPr="005F54EB">
        <w:rPr>
          <w:rFonts w:asciiTheme="minorHAnsi" w:eastAsia="Calibri" w:hAnsiTheme="minorHAnsi" w:cstheme="minorHAnsi"/>
        </w:rPr>
        <w:t>Sandwell</w:t>
      </w:r>
      <w:proofErr w:type="spellEnd"/>
      <w:r w:rsidRPr="005F54EB">
        <w:rPr>
          <w:rFonts w:asciiTheme="minorHAnsi" w:eastAsia="Calibri" w:hAnsiTheme="minorHAnsi" w:cstheme="minorHAnsi"/>
        </w:rPr>
        <w:t xml:space="preserve"> Archives building; completion of the Black Country and Marches Institute of Technology; £6 million of investment into connectivity and public realm within the Town Centre; and £5 million investment to improve historic buildings within the town </w:t>
      </w:r>
      <w:proofErr w:type="spellStart"/>
      <w:r w:rsidRPr="005F54EB">
        <w:rPr>
          <w:rFonts w:asciiTheme="minorHAnsi" w:eastAsia="Calibri" w:hAnsiTheme="minorHAnsi" w:cstheme="minorHAnsi"/>
        </w:rPr>
        <w:t>centre</w:t>
      </w:r>
      <w:proofErr w:type="spellEnd"/>
      <w:r w:rsidRPr="005F54EB">
        <w:rPr>
          <w:rFonts w:asciiTheme="minorHAnsi" w:eastAsia="Calibri" w:hAnsiTheme="minorHAnsi" w:cstheme="minorHAnsi"/>
        </w:rPr>
        <w:t xml:space="preserve"> Conservation Area.</w:t>
      </w:r>
    </w:p>
    <w:p w14:paraId="3F9BA075" w14:textId="77777777" w:rsidR="005919B7" w:rsidRPr="005F54EB" w:rsidRDefault="005919B7" w:rsidP="005919B7">
      <w:pPr>
        <w:pStyle w:val="AmionBodyText"/>
        <w:spacing w:line="240" w:lineRule="auto"/>
        <w:rPr>
          <w:rFonts w:asciiTheme="minorHAnsi" w:eastAsia="Calibri" w:hAnsiTheme="minorHAnsi" w:cstheme="minorHAnsi"/>
        </w:rPr>
      </w:pPr>
      <w:r w:rsidRPr="005F54EB">
        <w:rPr>
          <w:rFonts w:asciiTheme="minorHAnsi" w:eastAsia="Calibri" w:hAnsiTheme="minorHAnsi" w:cstheme="minorHAnsi"/>
        </w:rPr>
        <w:t xml:space="preserve">The rolling </w:t>
      </w:r>
      <w:proofErr w:type="spellStart"/>
      <w:r w:rsidRPr="005F54EB">
        <w:rPr>
          <w:rFonts w:asciiTheme="minorHAnsi" w:eastAsia="Calibri" w:hAnsiTheme="minorHAnsi" w:cstheme="minorHAnsi"/>
        </w:rPr>
        <w:t>programme</w:t>
      </w:r>
      <w:proofErr w:type="spellEnd"/>
      <w:r w:rsidRPr="005F54EB">
        <w:rPr>
          <w:rFonts w:asciiTheme="minorHAnsi" w:eastAsia="Calibri" w:hAnsiTheme="minorHAnsi" w:cstheme="minorHAnsi"/>
        </w:rPr>
        <w:t xml:space="preserve"> of investment led by Dudley Council and its partners has kickstarted an exciting new chapter in its history, with ‘Regenerating Dudley’ set to bring £1 billion investment into the borough. Major projects currently on site include the </w:t>
      </w:r>
      <w:proofErr w:type="spellStart"/>
      <w:r w:rsidRPr="005F54EB">
        <w:rPr>
          <w:rFonts w:asciiTheme="minorHAnsi" w:eastAsia="Calibri" w:hAnsiTheme="minorHAnsi" w:cstheme="minorHAnsi"/>
        </w:rPr>
        <w:t>Wednesbury</w:t>
      </w:r>
      <w:proofErr w:type="spellEnd"/>
      <w:r w:rsidRPr="005F54EB">
        <w:rPr>
          <w:rFonts w:asciiTheme="minorHAnsi" w:eastAsia="Calibri" w:hAnsiTheme="minorHAnsi" w:cstheme="minorHAnsi"/>
        </w:rPr>
        <w:t xml:space="preserve">-Brierley Hill Metro Extension, a new Dudley Transport Interchange, construction of the Very Light Rail National Innovation Centre, and the extension of the Black Country Living Museum. These ambitious initiatives have secured funding from a range of sources including West Midlands Combined Authority, Black Country Local Enterprise </w:t>
      </w:r>
      <w:proofErr w:type="gramStart"/>
      <w:r w:rsidRPr="005F54EB">
        <w:rPr>
          <w:rFonts w:asciiTheme="minorHAnsi" w:eastAsia="Calibri" w:hAnsiTheme="minorHAnsi" w:cstheme="minorHAnsi"/>
        </w:rPr>
        <w:t>Partnership;</w:t>
      </w:r>
      <w:proofErr w:type="gramEnd"/>
      <w:r w:rsidRPr="005F54EB">
        <w:rPr>
          <w:rFonts w:asciiTheme="minorHAnsi" w:eastAsia="Calibri" w:hAnsiTheme="minorHAnsi" w:cstheme="minorHAnsi"/>
        </w:rPr>
        <w:t xml:space="preserve"> Transport for West Midlands and the National Heritage Lottery Fund.</w:t>
      </w:r>
    </w:p>
    <w:p w14:paraId="50678CC2" w14:textId="77777777" w:rsidR="005919B7" w:rsidRPr="005F54EB" w:rsidRDefault="005919B7" w:rsidP="005919B7">
      <w:pPr>
        <w:pStyle w:val="AmionBodyText"/>
        <w:spacing w:line="240" w:lineRule="auto"/>
        <w:rPr>
          <w:rFonts w:asciiTheme="minorHAnsi" w:eastAsia="Calibri" w:hAnsiTheme="minorHAnsi" w:cstheme="minorHAnsi"/>
        </w:rPr>
      </w:pPr>
      <w:r w:rsidRPr="005F54EB">
        <w:rPr>
          <w:rFonts w:asciiTheme="minorHAnsi" w:eastAsia="Calibri" w:hAnsiTheme="minorHAnsi" w:cstheme="minorHAnsi"/>
        </w:rPr>
        <w:t>In September 2019, Dudley was one of 100 places in England invited to develop a proposal for a Town Deal with government. The aim of the Towns Fund is to drive sustainable economic regeneration and deliver long term economic and productivity growth. Dudley Town Deal Board submitted their plan in January 2021, securing approval of £25 million of Town Deal funding in July 2021.</w:t>
      </w:r>
    </w:p>
    <w:p w14:paraId="2F8FC9AA" w14:textId="77777777" w:rsidR="005919B7" w:rsidRPr="005F54EB" w:rsidRDefault="005919B7" w:rsidP="005919B7">
      <w:pPr>
        <w:pStyle w:val="AmionBodyText"/>
        <w:spacing w:line="240" w:lineRule="auto"/>
        <w:rPr>
          <w:rFonts w:asciiTheme="minorHAnsi" w:eastAsia="Calibri" w:hAnsiTheme="minorHAnsi" w:cstheme="minorHAnsi"/>
        </w:rPr>
      </w:pPr>
      <w:r w:rsidRPr="005F54EB">
        <w:rPr>
          <w:rFonts w:asciiTheme="minorHAnsi" w:eastAsia="Calibri" w:hAnsiTheme="minorHAnsi" w:cstheme="minorHAnsi"/>
        </w:rPr>
        <w:t xml:space="preserve">The Town Deal provides Dudley with a unique opportunity to secure resources that will enable partners to complete the current plans for reinvigorating the Town Centre.  The investment will drive improvements in skills and productivity, and the attraction of new businesses and enterprise.  In doing so, it will enable the town to embrace the Government’s levelling up agenda and </w:t>
      </w:r>
      <w:proofErr w:type="spellStart"/>
      <w:r w:rsidRPr="005F54EB">
        <w:rPr>
          <w:rFonts w:asciiTheme="minorHAnsi" w:eastAsia="Calibri" w:hAnsiTheme="minorHAnsi" w:cstheme="minorHAnsi"/>
        </w:rPr>
        <w:t>realise</w:t>
      </w:r>
      <w:proofErr w:type="spellEnd"/>
      <w:r w:rsidRPr="005F54EB">
        <w:rPr>
          <w:rFonts w:asciiTheme="minorHAnsi" w:eastAsia="Calibri" w:hAnsiTheme="minorHAnsi" w:cstheme="minorHAnsi"/>
        </w:rPr>
        <w:t xml:space="preserve"> its potential as an excellent place to live, work and study. </w:t>
      </w:r>
    </w:p>
    <w:p w14:paraId="3A385AC5" w14:textId="77777777" w:rsidR="005919B7" w:rsidRPr="005F54EB" w:rsidRDefault="005919B7" w:rsidP="005919B7">
      <w:pPr>
        <w:pStyle w:val="Heading2"/>
        <w:jc w:val="both"/>
        <w:rPr>
          <w:rStyle w:val="ClientTitle"/>
          <w:rFonts w:asciiTheme="minorHAnsi" w:hAnsiTheme="minorHAnsi" w:cstheme="minorHAnsi"/>
          <w:color w:val="871751"/>
        </w:rPr>
      </w:pPr>
    </w:p>
    <w:p w14:paraId="1EFF1381" w14:textId="77777777" w:rsidR="005919B7" w:rsidRPr="005F54EB" w:rsidRDefault="005919B7" w:rsidP="005919B7">
      <w:pPr>
        <w:pStyle w:val="Heading2"/>
        <w:jc w:val="both"/>
        <w:rPr>
          <w:rStyle w:val="ClientTitle"/>
          <w:rFonts w:asciiTheme="minorHAnsi" w:hAnsiTheme="minorHAnsi" w:cstheme="minorHAnsi"/>
          <w:color w:val="0070C0"/>
        </w:rPr>
      </w:pPr>
      <w:r w:rsidRPr="005F54EB">
        <w:rPr>
          <w:rStyle w:val="ClientTitle"/>
          <w:rFonts w:asciiTheme="minorHAnsi" w:hAnsiTheme="minorHAnsi" w:cstheme="minorHAnsi"/>
          <w:color w:val="0070C0"/>
        </w:rPr>
        <w:t xml:space="preserve">Health Innovation Dudley    </w:t>
      </w:r>
    </w:p>
    <w:p w14:paraId="3A9C10D5" w14:textId="77777777" w:rsidR="005919B7" w:rsidRPr="005F54EB" w:rsidRDefault="005919B7" w:rsidP="005919B7">
      <w:pPr>
        <w:rPr>
          <w:rFonts w:asciiTheme="minorHAnsi" w:hAnsiTheme="minorHAnsi" w:cstheme="minorHAnsi"/>
        </w:rPr>
      </w:pPr>
    </w:p>
    <w:p w14:paraId="103E9479" w14:textId="77777777" w:rsidR="005919B7" w:rsidRPr="005F54EB" w:rsidRDefault="005919B7" w:rsidP="005919B7">
      <w:pPr>
        <w:spacing w:after="160"/>
        <w:jc w:val="both"/>
        <w:rPr>
          <w:rFonts w:asciiTheme="minorHAnsi" w:eastAsia="Times New Roman" w:hAnsiTheme="minorHAnsi" w:cstheme="minorHAnsi"/>
          <w:color w:val="auto"/>
          <w:lang w:val="en-US" w:bidi="en-US"/>
        </w:rPr>
      </w:pPr>
      <w:r w:rsidRPr="005F54EB">
        <w:rPr>
          <w:rFonts w:asciiTheme="minorHAnsi" w:hAnsiTheme="minorHAnsi" w:cstheme="minorHAnsi"/>
        </w:rPr>
        <w:t>Dudley’s proposed Towns Fund Project - Health Innovation Dudley (‘HID’) - will deliver a new 4,250 m</w:t>
      </w:r>
      <w:r w:rsidRPr="005F54EB">
        <w:rPr>
          <w:rFonts w:asciiTheme="minorHAnsi" w:hAnsiTheme="minorHAnsi" w:cstheme="minorHAnsi"/>
          <w:vertAlign w:val="superscript"/>
        </w:rPr>
        <w:t>2</w:t>
      </w:r>
      <w:r w:rsidRPr="005F54EB">
        <w:rPr>
          <w:rFonts w:asciiTheme="minorHAnsi" w:hAnsiTheme="minorHAnsi" w:cstheme="minorHAnsi"/>
        </w:rPr>
        <w:t xml:space="preserve"> University Centre at Castle Hill focused on Health and Life Sciences. </w:t>
      </w:r>
      <w:r w:rsidRPr="005F54EB">
        <w:rPr>
          <w:rFonts w:asciiTheme="minorHAnsi" w:eastAsia="Calibri" w:hAnsiTheme="minorHAnsi" w:cstheme="minorHAnsi"/>
        </w:rPr>
        <w:t xml:space="preserve">Health Innovation Dudley is a key part of Dudley’s regeneration vision and levelling-up journey which will complete the range of learning provision in the town by providing Dudley borough’s only Higher Education facility. </w:t>
      </w:r>
      <w:r w:rsidRPr="005F54EB">
        <w:rPr>
          <w:rFonts w:asciiTheme="minorHAnsi" w:hAnsiTheme="minorHAnsi" w:cstheme="minorHAnsi"/>
        </w:rPr>
        <w:t xml:space="preserve">The project aims to attract new students to Dudley, provide new technical skills and degree programmes which align </w:t>
      </w:r>
      <w:r w:rsidRPr="005F54EB">
        <w:rPr>
          <w:rFonts w:asciiTheme="minorHAnsi" w:hAnsiTheme="minorHAnsi" w:cstheme="minorHAnsi"/>
        </w:rPr>
        <w:lastRenderedPageBreak/>
        <w:t xml:space="preserve">with local employment opportunities, and to improve progression rates for local people into higher-skilled employment opportunities. </w:t>
      </w:r>
      <w:r w:rsidRPr="005F54EB">
        <w:rPr>
          <w:rFonts w:asciiTheme="minorHAnsi" w:eastAsia="Times New Roman" w:hAnsiTheme="minorHAnsi" w:cstheme="minorHAnsi"/>
          <w:color w:val="auto"/>
          <w:lang w:val="en-US" w:bidi="en-US"/>
        </w:rPr>
        <w:t xml:space="preserve">Dudley College of Technology will work in partnership with the University of Worcester to deliver Level 4 and 5, degree and post-graduate </w:t>
      </w:r>
      <w:proofErr w:type="spellStart"/>
      <w:r w:rsidRPr="005F54EB">
        <w:rPr>
          <w:rFonts w:asciiTheme="minorHAnsi" w:eastAsia="Times New Roman" w:hAnsiTheme="minorHAnsi" w:cstheme="minorHAnsi"/>
          <w:color w:val="auto"/>
          <w:lang w:val="en-US" w:bidi="en-US"/>
        </w:rPr>
        <w:t>programmes</w:t>
      </w:r>
      <w:proofErr w:type="spellEnd"/>
      <w:r w:rsidRPr="005F54EB">
        <w:rPr>
          <w:rFonts w:asciiTheme="minorHAnsi" w:eastAsia="Times New Roman" w:hAnsiTheme="minorHAnsi" w:cstheme="minorHAnsi"/>
          <w:color w:val="auto"/>
          <w:lang w:val="en-US" w:bidi="en-US"/>
        </w:rPr>
        <w:t xml:space="preserve"> from September 2024 onwards. </w:t>
      </w:r>
    </w:p>
    <w:p w14:paraId="6929EAEF" w14:textId="1FCE373A" w:rsidR="005919B7" w:rsidRPr="005F54EB" w:rsidRDefault="005919B7" w:rsidP="00FD7A99">
      <w:pPr>
        <w:pStyle w:val="AmionBodyText"/>
        <w:spacing w:before="120" w:line="240" w:lineRule="auto"/>
        <w:rPr>
          <w:rFonts w:asciiTheme="minorHAnsi" w:hAnsiTheme="minorHAnsi" w:cstheme="minorHAnsi"/>
          <w:lang w:bidi="ar-SA"/>
        </w:rPr>
      </w:pPr>
      <w:r w:rsidRPr="005F54EB">
        <w:rPr>
          <w:rFonts w:asciiTheme="minorHAnsi" w:hAnsiTheme="minorHAnsi" w:cstheme="minorHAnsi"/>
          <w:lang w:bidi="ar-SA"/>
        </w:rPr>
        <w:t>HID will contribute towards the development of a ‘University Park’ within the Town, which will include the following key partners in the first instance:</w:t>
      </w:r>
    </w:p>
    <w:p w14:paraId="0826C3AC" w14:textId="77777777" w:rsidR="005919B7" w:rsidRPr="005F54EB" w:rsidRDefault="005919B7" w:rsidP="005919B7">
      <w:pPr>
        <w:pStyle w:val="AmionBodyText"/>
        <w:numPr>
          <w:ilvl w:val="0"/>
          <w:numId w:val="10"/>
        </w:numPr>
        <w:spacing w:before="0" w:line="240" w:lineRule="auto"/>
        <w:rPr>
          <w:rFonts w:asciiTheme="minorHAnsi" w:hAnsiTheme="minorHAnsi" w:cstheme="minorHAnsi"/>
          <w:lang w:bidi="ar-SA"/>
        </w:rPr>
      </w:pPr>
      <w:r w:rsidRPr="005F54EB">
        <w:rPr>
          <w:rFonts w:asciiTheme="minorHAnsi" w:hAnsiTheme="minorHAnsi" w:cstheme="minorHAnsi"/>
          <w:lang w:bidi="ar-SA"/>
        </w:rPr>
        <w:t>University of Warwick – a key partner in the delivery of the VLRNIC</w:t>
      </w:r>
    </w:p>
    <w:p w14:paraId="522D3FBA" w14:textId="77777777" w:rsidR="005919B7" w:rsidRPr="005F54EB" w:rsidRDefault="005919B7" w:rsidP="005919B7">
      <w:pPr>
        <w:pStyle w:val="AmionBodyText"/>
        <w:numPr>
          <w:ilvl w:val="0"/>
          <w:numId w:val="10"/>
        </w:numPr>
        <w:spacing w:before="0" w:line="240" w:lineRule="auto"/>
        <w:rPr>
          <w:rFonts w:asciiTheme="minorHAnsi" w:hAnsiTheme="minorHAnsi" w:cstheme="minorHAnsi"/>
          <w:lang w:bidi="ar-SA"/>
        </w:rPr>
      </w:pPr>
      <w:r w:rsidRPr="005F54EB">
        <w:rPr>
          <w:rFonts w:asciiTheme="minorHAnsi" w:hAnsiTheme="minorHAnsi" w:cstheme="minorHAnsi"/>
          <w:lang w:bidi="ar-SA"/>
        </w:rPr>
        <w:t xml:space="preserve">University of Wolverhampton – who will be responsible for delivery within the </w:t>
      </w:r>
      <w:proofErr w:type="spellStart"/>
      <w:r w:rsidRPr="005F54EB">
        <w:rPr>
          <w:rFonts w:asciiTheme="minorHAnsi" w:hAnsiTheme="minorHAnsi" w:cstheme="minorHAnsi"/>
          <w:lang w:bidi="ar-SA"/>
        </w:rPr>
        <w:t>Behavioural</w:t>
      </w:r>
      <w:proofErr w:type="spellEnd"/>
      <w:r w:rsidRPr="005F54EB">
        <w:rPr>
          <w:rFonts w:asciiTheme="minorHAnsi" w:hAnsiTheme="minorHAnsi" w:cstheme="minorHAnsi"/>
          <w:lang w:bidi="ar-SA"/>
        </w:rPr>
        <w:t xml:space="preserve"> Research Facility of the new Institute of Transformative Technology (</w:t>
      </w:r>
      <w:proofErr w:type="spellStart"/>
      <w:r w:rsidRPr="005F54EB">
        <w:rPr>
          <w:rFonts w:asciiTheme="minorHAnsi" w:hAnsiTheme="minorHAnsi" w:cstheme="minorHAnsi"/>
          <w:lang w:bidi="ar-SA"/>
        </w:rPr>
        <w:t>IoTT</w:t>
      </w:r>
      <w:proofErr w:type="spellEnd"/>
      <w:r w:rsidRPr="005F54EB">
        <w:rPr>
          <w:rFonts w:asciiTheme="minorHAnsi" w:hAnsiTheme="minorHAnsi" w:cstheme="minorHAnsi"/>
          <w:lang w:bidi="ar-SA"/>
        </w:rPr>
        <w:t>), and delivery of L5+ qualifications, alongside other qualifications with Dudley College of Technology</w:t>
      </w:r>
    </w:p>
    <w:p w14:paraId="2CF29CC9" w14:textId="77777777" w:rsidR="005919B7" w:rsidRPr="005F54EB" w:rsidRDefault="005919B7" w:rsidP="005919B7">
      <w:pPr>
        <w:pStyle w:val="AmionBodyText"/>
        <w:numPr>
          <w:ilvl w:val="0"/>
          <w:numId w:val="10"/>
        </w:numPr>
        <w:spacing w:before="0" w:line="240" w:lineRule="auto"/>
        <w:rPr>
          <w:rFonts w:asciiTheme="minorHAnsi" w:hAnsiTheme="minorHAnsi" w:cstheme="minorHAnsi"/>
          <w:lang w:bidi="ar-SA"/>
        </w:rPr>
      </w:pPr>
      <w:r w:rsidRPr="005F54EB">
        <w:rPr>
          <w:rFonts w:asciiTheme="minorHAnsi" w:hAnsiTheme="minorHAnsi" w:cstheme="minorHAnsi"/>
          <w:lang w:bidi="ar-SA"/>
        </w:rPr>
        <w:t xml:space="preserve">Resonance (Music Institute) – who have recently established a new HE development in the Brierley Hill Learning Quarter, with Solent University responsible for awarding the </w:t>
      </w:r>
      <w:proofErr w:type="gramStart"/>
      <w:r w:rsidRPr="005F54EB">
        <w:rPr>
          <w:rFonts w:asciiTheme="minorHAnsi" w:hAnsiTheme="minorHAnsi" w:cstheme="minorHAnsi"/>
          <w:lang w:bidi="ar-SA"/>
        </w:rPr>
        <w:t>higher level</w:t>
      </w:r>
      <w:proofErr w:type="gramEnd"/>
      <w:r w:rsidRPr="005F54EB">
        <w:rPr>
          <w:rFonts w:asciiTheme="minorHAnsi" w:hAnsiTheme="minorHAnsi" w:cstheme="minorHAnsi"/>
          <w:lang w:bidi="ar-SA"/>
        </w:rPr>
        <w:t xml:space="preserve"> music qualifications delivered by the Institute; and </w:t>
      </w:r>
    </w:p>
    <w:p w14:paraId="7275992B" w14:textId="77777777" w:rsidR="005919B7" w:rsidRPr="005F54EB" w:rsidRDefault="005919B7" w:rsidP="005919B7">
      <w:pPr>
        <w:pStyle w:val="AmionBodyText"/>
        <w:numPr>
          <w:ilvl w:val="0"/>
          <w:numId w:val="10"/>
        </w:numPr>
        <w:spacing w:before="0" w:line="240" w:lineRule="auto"/>
        <w:rPr>
          <w:rFonts w:asciiTheme="minorHAnsi" w:hAnsiTheme="minorHAnsi" w:cstheme="minorHAnsi"/>
          <w:lang w:bidi="ar-SA"/>
        </w:rPr>
      </w:pPr>
      <w:r w:rsidRPr="005F54EB">
        <w:rPr>
          <w:rFonts w:asciiTheme="minorHAnsi" w:hAnsiTheme="minorHAnsi" w:cstheme="minorHAnsi"/>
          <w:lang w:bidi="ar-SA"/>
        </w:rPr>
        <w:t xml:space="preserve">University of Worcester – who will play a key role in the delivery of the Health and Life Sciences provision at the New University Centre. </w:t>
      </w:r>
    </w:p>
    <w:p w14:paraId="2481F1C5" w14:textId="77777777" w:rsidR="005919B7" w:rsidRPr="005F54EB" w:rsidRDefault="005919B7" w:rsidP="005919B7">
      <w:pPr>
        <w:pStyle w:val="AmionBodyText"/>
        <w:spacing w:line="240" w:lineRule="auto"/>
        <w:rPr>
          <w:rFonts w:asciiTheme="minorHAnsi" w:hAnsiTheme="minorHAnsi" w:cstheme="minorHAnsi"/>
        </w:rPr>
      </w:pPr>
      <w:r w:rsidRPr="005F54EB">
        <w:rPr>
          <w:rFonts w:asciiTheme="minorHAnsi" w:hAnsiTheme="minorHAnsi" w:cstheme="minorHAnsi"/>
        </w:rPr>
        <w:t xml:space="preserve">The Park will aim to provide a diverse range of learning opportunities and ‘pathways’ for </w:t>
      </w:r>
      <w:proofErr w:type="gramStart"/>
      <w:r w:rsidRPr="005F54EB">
        <w:rPr>
          <w:rFonts w:asciiTheme="minorHAnsi" w:hAnsiTheme="minorHAnsi" w:cstheme="minorHAnsi"/>
        </w:rPr>
        <w:t>local residents</w:t>
      </w:r>
      <w:proofErr w:type="gramEnd"/>
      <w:r w:rsidRPr="005F54EB">
        <w:rPr>
          <w:rFonts w:asciiTheme="minorHAnsi" w:hAnsiTheme="minorHAnsi" w:cstheme="minorHAnsi"/>
        </w:rPr>
        <w:t xml:space="preserve">, and prospective students from the wider West Midlands region.  This will include progression from school and college through to HE and continuous professional learning.  Furthermore, these learning opportunities will be tailored to the needs of local employers, generating jobs for local </w:t>
      </w:r>
      <w:proofErr w:type="gramStart"/>
      <w:r w:rsidRPr="005F54EB">
        <w:rPr>
          <w:rFonts w:asciiTheme="minorHAnsi" w:hAnsiTheme="minorHAnsi" w:cstheme="minorHAnsi"/>
        </w:rPr>
        <w:t>graduates</w:t>
      </w:r>
      <w:proofErr w:type="gramEnd"/>
      <w:r w:rsidRPr="005F54EB">
        <w:rPr>
          <w:rFonts w:asciiTheme="minorHAnsi" w:hAnsiTheme="minorHAnsi" w:cstheme="minorHAnsi"/>
        </w:rPr>
        <w:t xml:space="preserve"> and facilitating retention of educational benefits within the Town. Local employers will also have a crucial role in the University Park by providing apprenticeship training, sponsorship, student and graduate placements and </w:t>
      </w:r>
      <w:proofErr w:type="gramStart"/>
      <w:r w:rsidRPr="005F54EB">
        <w:rPr>
          <w:rFonts w:asciiTheme="minorHAnsi" w:hAnsiTheme="minorHAnsi" w:cstheme="minorHAnsi"/>
        </w:rPr>
        <w:t>full time</w:t>
      </w:r>
      <w:proofErr w:type="gramEnd"/>
      <w:r w:rsidRPr="005F54EB">
        <w:rPr>
          <w:rFonts w:asciiTheme="minorHAnsi" w:hAnsiTheme="minorHAnsi" w:cstheme="minorHAnsi"/>
        </w:rPr>
        <w:t xml:space="preserve"> employment opportunities. </w:t>
      </w:r>
    </w:p>
    <w:p w14:paraId="2824E2D1" w14:textId="77777777" w:rsidR="005919B7" w:rsidRPr="005F54EB" w:rsidRDefault="005919B7" w:rsidP="005919B7">
      <w:pPr>
        <w:pStyle w:val="AmionBodyText"/>
        <w:spacing w:line="240" w:lineRule="auto"/>
        <w:rPr>
          <w:rFonts w:asciiTheme="minorHAnsi" w:hAnsiTheme="minorHAnsi" w:cstheme="minorHAnsi"/>
          <w:lang w:bidi="ar-SA"/>
        </w:rPr>
      </w:pPr>
      <w:r w:rsidRPr="005F54EB">
        <w:rPr>
          <w:rFonts w:asciiTheme="minorHAnsi" w:hAnsiTheme="minorHAnsi" w:cstheme="minorHAnsi"/>
          <w:lang w:bidi="ar-SA"/>
        </w:rPr>
        <w:t>The collaboration amongst the University Park partners (</w:t>
      </w:r>
      <w:proofErr w:type="gramStart"/>
      <w:r w:rsidRPr="005F54EB">
        <w:rPr>
          <w:rFonts w:asciiTheme="minorHAnsi" w:hAnsiTheme="minorHAnsi" w:cstheme="minorHAnsi"/>
          <w:lang w:bidi="ar-SA"/>
        </w:rPr>
        <w:t>e.g.</w:t>
      </w:r>
      <w:proofErr w:type="gramEnd"/>
      <w:r w:rsidRPr="005F54EB">
        <w:rPr>
          <w:rFonts w:asciiTheme="minorHAnsi" w:hAnsiTheme="minorHAnsi" w:cstheme="minorHAnsi"/>
          <w:lang w:bidi="ar-SA"/>
        </w:rPr>
        <w:t xml:space="preserve"> shared services) will also assist in driving excellence and delivering learning opportunities in the most cost efficient manner.  At present, the new IOTT is expected to deliver approximately 550 L4/5/6 qualifications p.a. for the next five years, while the UCD will deliver courses for approx. 1,800 learners from year 5 onwards, building up from 300 learners when it opens in 2024. </w:t>
      </w:r>
    </w:p>
    <w:p w14:paraId="2A1E3402" w14:textId="77777777" w:rsidR="005919B7" w:rsidRPr="005F54EB" w:rsidRDefault="005919B7" w:rsidP="005919B7">
      <w:pPr>
        <w:pStyle w:val="AmionBodyText"/>
        <w:spacing w:line="240" w:lineRule="auto"/>
        <w:rPr>
          <w:rFonts w:asciiTheme="minorHAnsi" w:hAnsiTheme="minorHAnsi" w:cstheme="minorHAnsi"/>
        </w:rPr>
      </w:pPr>
      <w:r w:rsidRPr="005F54EB">
        <w:rPr>
          <w:rFonts w:asciiTheme="minorHAnsi" w:eastAsia="Calibri" w:hAnsiTheme="minorHAnsi" w:cstheme="minorHAnsi"/>
        </w:rPr>
        <w:t xml:space="preserve">The new University Centre building itself will also provide a central part of the redevelopment at Castle Hill by delivering a new contemporary gateway into the town </w:t>
      </w:r>
      <w:proofErr w:type="spellStart"/>
      <w:r w:rsidRPr="005F54EB">
        <w:rPr>
          <w:rFonts w:asciiTheme="minorHAnsi" w:eastAsia="Calibri" w:hAnsiTheme="minorHAnsi" w:cstheme="minorHAnsi"/>
        </w:rPr>
        <w:t>centre</w:t>
      </w:r>
      <w:proofErr w:type="spellEnd"/>
      <w:r w:rsidRPr="005F54EB">
        <w:rPr>
          <w:rFonts w:asciiTheme="minorHAnsi" w:eastAsia="Calibri" w:hAnsiTheme="minorHAnsi" w:cstheme="minorHAnsi"/>
        </w:rPr>
        <w:t xml:space="preserve">, opening-up new views to the Grade-I listed scheduled Monument at Dudley Castle, and complementing the wider conservation area with more appropriate massing and active frontages. </w:t>
      </w:r>
      <w:r w:rsidRPr="005F54EB">
        <w:rPr>
          <w:rFonts w:asciiTheme="minorHAnsi" w:hAnsiTheme="minorHAnsi" w:cstheme="minorHAnsi"/>
        </w:rPr>
        <w:t xml:space="preserve">The proposed location of HID within Castle Hill, and proposed pedestrian flows are shown in the ariel photograph below: </w:t>
      </w:r>
    </w:p>
    <w:p w14:paraId="63BE0086" w14:textId="77777777" w:rsidR="005919B7" w:rsidRPr="005F54EB" w:rsidRDefault="005919B7" w:rsidP="005919B7">
      <w:pPr>
        <w:pStyle w:val="AmionBodyText"/>
        <w:spacing w:line="240" w:lineRule="auto"/>
        <w:rPr>
          <w:rFonts w:asciiTheme="minorHAnsi" w:hAnsiTheme="minorHAnsi" w:cstheme="minorHAnsi"/>
        </w:rPr>
      </w:pPr>
    </w:p>
    <w:p w14:paraId="0B26FFAE" w14:textId="77777777" w:rsidR="005919B7" w:rsidRPr="005F54EB" w:rsidRDefault="005919B7" w:rsidP="005919B7">
      <w:pPr>
        <w:jc w:val="center"/>
        <w:rPr>
          <w:rFonts w:asciiTheme="minorHAnsi" w:hAnsiTheme="minorHAnsi" w:cstheme="minorHAnsi"/>
        </w:rPr>
      </w:pPr>
      <w:r w:rsidRPr="005F54EB">
        <w:rPr>
          <w:rFonts w:asciiTheme="minorHAnsi" w:hAnsiTheme="minorHAnsi" w:cstheme="minorHAnsi"/>
          <w:noProof/>
        </w:rPr>
        <w:drawing>
          <wp:inline distT="0" distB="0" distL="0" distR="0" wp14:anchorId="2883EDFB" wp14:editId="684D90EB">
            <wp:extent cx="4581525" cy="2573193"/>
            <wp:effectExtent l="0" t="0" r="0" b="0"/>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pic:nvPicPr>
                  <pic:blipFill>
                    <a:blip r:embed="rId8"/>
                    <a:stretch>
                      <a:fillRect/>
                    </a:stretch>
                  </pic:blipFill>
                  <pic:spPr>
                    <a:xfrm>
                      <a:off x="0" y="0"/>
                      <a:ext cx="4597953" cy="2582420"/>
                    </a:xfrm>
                    <a:prstGeom prst="rect">
                      <a:avLst/>
                    </a:prstGeom>
                  </pic:spPr>
                </pic:pic>
              </a:graphicData>
            </a:graphic>
          </wp:inline>
        </w:drawing>
      </w:r>
    </w:p>
    <w:p w14:paraId="722B785F" w14:textId="452980F7" w:rsidR="005919B7" w:rsidRDefault="005919B7" w:rsidP="005919B7">
      <w:pPr>
        <w:pStyle w:val="AmionBodyText"/>
        <w:spacing w:line="240" w:lineRule="auto"/>
        <w:rPr>
          <w:rFonts w:asciiTheme="minorHAnsi" w:hAnsiTheme="minorHAnsi" w:cstheme="minorHAnsi"/>
          <w:lang w:bidi="ar-SA"/>
        </w:rPr>
      </w:pPr>
      <w:r w:rsidRPr="005F54EB">
        <w:rPr>
          <w:rFonts w:asciiTheme="minorHAnsi" w:hAnsiTheme="minorHAnsi" w:cstheme="minorHAnsi"/>
          <w:lang w:bidi="ar-SA"/>
        </w:rPr>
        <w:lastRenderedPageBreak/>
        <w:t xml:space="preserve">Increasing the flow of students between Castle Hill and the Town Centre will increase expenditure in the town </w:t>
      </w:r>
      <w:proofErr w:type="spellStart"/>
      <w:r w:rsidRPr="005F54EB">
        <w:rPr>
          <w:rFonts w:asciiTheme="minorHAnsi" w:hAnsiTheme="minorHAnsi" w:cstheme="minorHAnsi"/>
          <w:lang w:bidi="ar-SA"/>
        </w:rPr>
        <w:t>centre</w:t>
      </w:r>
      <w:proofErr w:type="spellEnd"/>
      <w:r w:rsidRPr="005F54EB">
        <w:rPr>
          <w:rFonts w:asciiTheme="minorHAnsi" w:hAnsiTheme="minorHAnsi" w:cstheme="minorHAnsi"/>
          <w:lang w:bidi="ar-SA"/>
        </w:rPr>
        <w:t xml:space="preserve"> businesses (shops, restaurants, </w:t>
      </w:r>
      <w:proofErr w:type="gramStart"/>
      <w:r w:rsidRPr="005F54EB">
        <w:rPr>
          <w:rFonts w:asciiTheme="minorHAnsi" w:hAnsiTheme="minorHAnsi" w:cstheme="minorHAnsi"/>
          <w:lang w:bidi="ar-SA"/>
        </w:rPr>
        <w:t>bars</w:t>
      </w:r>
      <w:proofErr w:type="gramEnd"/>
      <w:r w:rsidRPr="005F54EB">
        <w:rPr>
          <w:rFonts w:asciiTheme="minorHAnsi" w:hAnsiTheme="minorHAnsi" w:cstheme="minorHAnsi"/>
          <w:lang w:bidi="ar-SA"/>
        </w:rPr>
        <w:t xml:space="preserve"> and leisure activities). It will also support the Council’s strategic approach to diversify activities, as the retail core shrinks and residential /town </w:t>
      </w:r>
      <w:proofErr w:type="spellStart"/>
      <w:r w:rsidRPr="005F54EB">
        <w:rPr>
          <w:rFonts w:asciiTheme="minorHAnsi" w:hAnsiTheme="minorHAnsi" w:cstheme="minorHAnsi"/>
          <w:lang w:bidi="ar-SA"/>
        </w:rPr>
        <w:t>centre</w:t>
      </w:r>
      <w:proofErr w:type="spellEnd"/>
      <w:r w:rsidRPr="005F54EB">
        <w:rPr>
          <w:rFonts w:asciiTheme="minorHAnsi" w:hAnsiTheme="minorHAnsi" w:cstheme="minorHAnsi"/>
          <w:lang w:bidi="ar-SA"/>
        </w:rPr>
        <w:t xml:space="preserve"> living increases.  </w:t>
      </w:r>
    </w:p>
    <w:p w14:paraId="644555DA" w14:textId="77777777" w:rsidR="00FD7A99" w:rsidRPr="005F54EB" w:rsidRDefault="00FD7A99" w:rsidP="00FD7A99">
      <w:pPr>
        <w:pStyle w:val="AmionBodyText"/>
        <w:spacing w:before="0" w:line="240" w:lineRule="auto"/>
        <w:rPr>
          <w:rFonts w:asciiTheme="minorHAnsi" w:hAnsiTheme="minorHAnsi" w:cstheme="minorHAnsi"/>
        </w:rPr>
      </w:pPr>
    </w:p>
    <w:p w14:paraId="08B5BD44" w14:textId="77777777" w:rsidR="005919B7" w:rsidRPr="005F54EB" w:rsidRDefault="005919B7" w:rsidP="00FD7A99">
      <w:pPr>
        <w:pStyle w:val="Heading2"/>
        <w:jc w:val="both"/>
        <w:rPr>
          <w:rStyle w:val="ClientTitle"/>
          <w:rFonts w:asciiTheme="minorHAnsi" w:hAnsiTheme="minorHAnsi" w:cstheme="minorHAnsi"/>
          <w:color w:val="0070C0"/>
        </w:rPr>
      </w:pPr>
      <w:r w:rsidRPr="005F54EB">
        <w:rPr>
          <w:rStyle w:val="ClientTitle"/>
          <w:rFonts w:asciiTheme="minorHAnsi" w:hAnsiTheme="minorHAnsi" w:cstheme="minorHAnsi"/>
          <w:color w:val="0070C0"/>
        </w:rPr>
        <w:t xml:space="preserve">Strategic Case Summary </w:t>
      </w:r>
    </w:p>
    <w:p w14:paraId="3F2A8AC8" w14:textId="77777777" w:rsidR="005919B7" w:rsidRPr="005F54EB" w:rsidRDefault="005919B7" w:rsidP="00FD7A99">
      <w:pPr>
        <w:pStyle w:val="Heading2"/>
        <w:jc w:val="both"/>
        <w:rPr>
          <w:rStyle w:val="ClientTitle"/>
          <w:rFonts w:asciiTheme="minorHAnsi" w:hAnsiTheme="minorHAnsi" w:cstheme="minorHAnsi"/>
          <w:color w:val="871751"/>
        </w:rPr>
      </w:pPr>
      <w:r w:rsidRPr="005F54EB">
        <w:rPr>
          <w:rStyle w:val="ClientTitle"/>
          <w:rFonts w:asciiTheme="minorHAnsi" w:hAnsiTheme="minorHAnsi" w:cstheme="minorHAnsi"/>
          <w:color w:val="871751"/>
        </w:rPr>
        <w:t xml:space="preserve"> </w:t>
      </w:r>
    </w:p>
    <w:p w14:paraId="5E1AF385" w14:textId="77777777" w:rsidR="005919B7" w:rsidRPr="005F54EB" w:rsidRDefault="005919B7" w:rsidP="005919B7">
      <w:pPr>
        <w:jc w:val="both"/>
        <w:rPr>
          <w:rFonts w:asciiTheme="minorHAnsi" w:hAnsiTheme="minorHAnsi" w:cstheme="minorHAnsi"/>
        </w:rPr>
      </w:pPr>
      <w:r w:rsidRPr="005F54EB">
        <w:rPr>
          <w:rFonts w:asciiTheme="minorHAnsi" w:hAnsiTheme="minorHAnsi" w:cstheme="minorHAnsi"/>
        </w:rPr>
        <w:t xml:space="preserve">There are five key challenges and opportunities for growth within the Town Centre that HID is seeking to address.  These relate to: </w:t>
      </w:r>
    </w:p>
    <w:p w14:paraId="4AFD1F7D" w14:textId="77777777" w:rsidR="005919B7" w:rsidRPr="005F54EB" w:rsidRDefault="005919B7" w:rsidP="005919B7">
      <w:pPr>
        <w:pStyle w:val="Amionbullet1"/>
        <w:numPr>
          <w:ilvl w:val="0"/>
          <w:numId w:val="4"/>
        </w:numPr>
        <w:spacing w:line="240" w:lineRule="auto"/>
        <w:ind w:left="851" w:hanging="425"/>
        <w:rPr>
          <w:rFonts w:asciiTheme="minorHAnsi" w:eastAsia="Times New Roman" w:hAnsiTheme="minorHAnsi" w:cstheme="minorHAnsi"/>
          <w:lang w:eastAsia="en-GB"/>
        </w:rPr>
      </w:pPr>
      <w:r w:rsidRPr="005F54EB">
        <w:rPr>
          <w:rFonts w:asciiTheme="minorHAnsi" w:eastAsia="Times New Roman" w:hAnsiTheme="minorHAnsi" w:cstheme="minorHAnsi"/>
          <w:lang w:eastAsia="en-GB"/>
        </w:rPr>
        <w:t xml:space="preserve">Building a skilled workforce for the future </w:t>
      </w:r>
    </w:p>
    <w:p w14:paraId="6BADE702" w14:textId="77777777" w:rsidR="005919B7" w:rsidRPr="005F54EB" w:rsidRDefault="005919B7" w:rsidP="005919B7">
      <w:pPr>
        <w:pStyle w:val="Amionbullet1"/>
        <w:numPr>
          <w:ilvl w:val="0"/>
          <w:numId w:val="4"/>
        </w:numPr>
        <w:spacing w:line="240" w:lineRule="auto"/>
        <w:ind w:left="851" w:hanging="425"/>
        <w:rPr>
          <w:rFonts w:asciiTheme="minorHAnsi" w:eastAsia="Times New Roman" w:hAnsiTheme="minorHAnsi" w:cstheme="minorHAnsi"/>
          <w:lang w:eastAsia="en-GB"/>
        </w:rPr>
      </w:pPr>
      <w:r w:rsidRPr="005F54EB">
        <w:rPr>
          <w:rFonts w:asciiTheme="minorHAnsi" w:eastAsia="Times New Roman" w:hAnsiTheme="minorHAnsi" w:cstheme="minorHAnsi"/>
          <w:lang w:eastAsia="en-GB"/>
        </w:rPr>
        <w:t xml:space="preserve">Raising productivity and achieving inclusive growth  </w:t>
      </w:r>
    </w:p>
    <w:p w14:paraId="09842773" w14:textId="77777777" w:rsidR="005919B7" w:rsidRPr="005F54EB" w:rsidRDefault="005919B7" w:rsidP="005919B7">
      <w:pPr>
        <w:pStyle w:val="Amionbullet1"/>
        <w:numPr>
          <w:ilvl w:val="0"/>
          <w:numId w:val="4"/>
        </w:numPr>
        <w:spacing w:line="240" w:lineRule="auto"/>
        <w:ind w:left="851" w:hanging="425"/>
        <w:rPr>
          <w:rFonts w:asciiTheme="minorHAnsi" w:eastAsia="Times New Roman" w:hAnsiTheme="minorHAnsi" w:cstheme="minorHAnsi"/>
          <w:lang w:eastAsia="en-GB"/>
        </w:rPr>
      </w:pPr>
      <w:r w:rsidRPr="005F54EB">
        <w:rPr>
          <w:rFonts w:asciiTheme="minorHAnsi" w:eastAsia="Times New Roman" w:hAnsiTheme="minorHAnsi" w:cstheme="minorHAnsi"/>
          <w:lang w:eastAsia="en-GB"/>
        </w:rPr>
        <w:t>Strengthening the cultural offer and connectivity between Castle Hill and the Town Centre</w:t>
      </w:r>
    </w:p>
    <w:p w14:paraId="2DEA13A9" w14:textId="77777777" w:rsidR="005919B7" w:rsidRPr="005F54EB" w:rsidRDefault="005919B7" w:rsidP="005919B7">
      <w:pPr>
        <w:pStyle w:val="Amionbullet1"/>
        <w:numPr>
          <w:ilvl w:val="0"/>
          <w:numId w:val="4"/>
        </w:numPr>
        <w:spacing w:line="240" w:lineRule="auto"/>
        <w:ind w:left="851" w:hanging="425"/>
        <w:rPr>
          <w:rFonts w:asciiTheme="minorHAnsi" w:eastAsia="Times New Roman" w:hAnsiTheme="minorHAnsi" w:cstheme="minorHAnsi"/>
          <w:lang w:eastAsia="en-GB"/>
        </w:rPr>
      </w:pPr>
      <w:r w:rsidRPr="005F54EB">
        <w:rPr>
          <w:rFonts w:asciiTheme="minorHAnsi" w:eastAsia="Times New Roman" w:hAnsiTheme="minorHAnsi" w:cstheme="minorHAnsi"/>
          <w:lang w:eastAsia="en-GB"/>
        </w:rPr>
        <w:t xml:space="preserve">Increasing the vibrancy and profile of the Town Centre </w:t>
      </w:r>
    </w:p>
    <w:p w14:paraId="08010CAB" w14:textId="77777777" w:rsidR="005919B7" w:rsidRPr="005F54EB" w:rsidRDefault="005919B7" w:rsidP="005919B7">
      <w:pPr>
        <w:pStyle w:val="Amionbullet1"/>
        <w:numPr>
          <w:ilvl w:val="0"/>
          <w:numId w:val="4"/>
        </w:numPr>
        <w:spacing w:line="240" w:lineRule="auto"/>
        <w:ind w:left="851" w:hanging="425"/>
        <w:rPr>
          <w:rFonts w:asciiTheme="minorHAnsi" w:eastAsia="Times New Roman" w:hAnsiTheme="minorHAnsi" w:cstheme="minorHAnsi"/>
          <w:lang w:eastAsia="en-GB"/>
        </w:rPr>
      </w:pPr>
      <w:r w:rsidRPr="005F54EB">
        <w:rPr>
          <w:rFonts w:asciiTheme="minorHAnsi" w:eastAsia="Times New Roman" w:hAnsiTheme="minorHAnsi" w:cstheme="minorHAnsi"/>
          <w:lang w:eastAsia="en-GB"/>
        </w:rPr>
        <w:t>Addressing the impacts of Covid-19</w:t>
      </w:r>
    </w:p>
    <w:p w14:paraId="2B4FC088" w14:textId="77777777" w:rsidR="005919B7" w:rsidRPr="005F54EB" w:rsidRDefault="005919B7" w:rsidP="005919B7">
      <w:pPr>
        <w:pStyle w:val="AmionBodyText"/>
        <w:spacing w:line="240" w:lineRule="auto"/>
        <w:rPr>
          <w:rFonts w:asciiTheme="minorHAnsi" w:hAnsiTheme="minorHAnsi" w:cstheme="minorHAnsi"/>
          <w:lang w:val="en-GB"/>
        </w:rPr>
      </w:pPr>
      <w:r w:rsidRPr="005F54EB">
        <w:rPr>
          <w:rFonts w:asciiTheme="minorHAnsi" w:hAnsiTheme="minorHAnsi" w:cstheme="minorHAnsi"/>
        </w:rPr>
        <w:t>Extensive stakeholder and community engagement activities were conducted as part of the development of the Dudley Town Investment Plan proposals, which took place during a four-week period from 18</w:t>
      </w:r>
      <w:r w:rsidRPr="005F54EB">
        <w:rPr>
          <w:rFonts w:asciiTheme="minorHAnsi" w:hAnsiTheme="minorHAnsi" w:cstheme="minorHAnsi"/>
          <w:vertAlign w:val="superscript"/>
        </w:rPr>
        <w:t xml:space="preserve">th </w:t>
      </w:r>
      <w:r w:rsidRPr="005F54EB">
        <w:rPr>
          <w:rFonts w:asciiTheme="minorHAnsi" w:hAnsiTheme="minorHAnsi" w:cstheme="minorHAnsi"/>
        </w:rPr>
        <w:t>November to 16</w:t>
      </w:r>
      <w:r w:rsidRPr="005F54EB">
        <w:rPr>
          <w:rFonts w:asciiTheme="minorHAnsi" w:hAnsiTheme="minorHAnsi" w:cstheme="minorHAnsi"/>
          <w:vertAlign w:val="superscript"/>
        </w:rPr>
        <w:t>th</w:t>
      </w:r>
      <w:r w:rsidRPr="005F54EB">
        <w:rPr>
          <w:rFonts w:asciiTheme="minorHAnsi" w:hAnsiTheme="minorHAnsi" w:cstheme="minorHAnsi"/>
        </w:rPr>
        <w:t xml:space="preserve"> December 2020.  The range of </w:t>
      </w:r>
      <w:proofErr w:type="spellStart"/>
      <w:r w:rsidRPr="005F54EB">
        <w:rPr>
          <w:rFonts w:asciiTheme="minorHAnsi" w:hAnsiTheme="minorHAnsi" w:cstheme="minorHAnsi"/>
        </w:rPr>
        <w:t>organisations</w:t>
      </w:r>
      <w:proofErr w:type="spellEnd"/>
      <w:r w:rsidRPr="005F54EB">
        <w:rPr>
          <w:rFonts w:asciiTheme="minorHAnsi" w:hAnsiTheme="minorHAnsi" w:cstheme="minorHAnsi"/>
        </w:rPr>
        <w:t xml:space="preserve"> consulted is set out in section 3.3. of the business case.  In addition to responding to </w:t>
      </w:r>
      <w:r w:rsidRPr="005F54EB">
        <w:rPr>
          <w:rFonts w:asciiTheme="minorHAnsi" w:hAnsiTheme="minorHAnsi" w:cstheme="minorHAnsi"/>
          <w:lang w:val="en-GB"/>
        </w:rPr>
        <w:t xml:space="preserve">feedback from major businesses in the healthcare sector, including the Dudley NHS Foundation Trust, the consultation found that the project has strong support from the local community.  Key findings included: </w:t>
      </w:r>
    </w:p>
    <w:p w14:paraId="2D99F507" w14:textId="77777777" w:rsidR="005919B7" w:rsidRPr="005F54EB" w:rsidRDefault="005919B7" w:rsidP="005919B7">
      <w:pPr>
        <w:pStyle w:val="AmionBodyText"/>
        <w:numPr>
          <w:ilvl w:val="1"/>
          <w:numId w:val="11"/>
        </w:numPr>
        <w:spacing w:line="240" w:lineRule="auto"/>
        <w:ind w:left="851" w:hanging="425"/>
        <w:rPr>
          <w:rFonts w:asciiTheme="minorHAnsi" w:hAnsiTheme="minorHAnsi" w:cstheme="minorHAnsi"/>
          <w:lang w:val="en-GB"/>
        </w:rPr>
      </w:pPr>
      <w:r w:rsidRPr="005F54EB">
        <w:rPr>
          <w:rFonts w:asciiTheme="minorHAnsi" w:hAnsiTheme="minorHAnsi" w:cstheme="minorHAnsi"/>
          <w:lang w:val="en-GB"/>
        </w:rPr>
        <w:t xml:space="preserve">77% of respondents were in favour of expanding the learning </w:t>
      </w:r>
      <w:proofErr w:type="gramStart"/>
      <w:r w:rsidRPr="005F54EB">
        <w:rPr>
          <w:rFonts w:asciiTheme="minorHAnsi" w:hAnsiTheme="minorHAnsi" w:cstheme="minorHAnsi"/>
          <w:lang w:val="en-GB"/>
        </w:rPr>
        <w:t>quarter;</w:t>
      </w:r>
      <w:proofErr w:type="gramEnd"/>
    </w:p>
    <w:p w14:paraId="0659DC4C" w14:textId="77777777" w:rsidR="005919B7" w:rsidRPr="005F54EB" w:rsidRDefault="005919B7" w:rsidP="005919B7">
      <w:pPr>
        <w:pStyle w:val="AmionBodyText"/>
        <w:numPr>
          <w:ilvl w:val="1"/>
          <w:numId w:val="11"/>
        </w:numPr>
        <w:spacing w:line="240" w:lineRule="auto"/>
        <w:ind w:left="851" w:hanging="425"/>
        <w:rPr>
          <w:rFonts w:asciiTheme="minorHAnsi" w:hAnsiTheme="minorHAnsi" w:cstheme="minorHAnsi"/>
          <w:lang w:val="en-GB"/>
        </w:rPr>
      </w:pPr>
      <w:r w:rsidRPr="005F54EB">
        <w:rPr>
          <w:rFonts w:asciiTheme="minorHAnsi" w:hAnsiTheme="minorHAnsi" w:cstheme="minorHAnsi"/>
          <w:lang w:val="en-GB"/>
        </w:rPr>
        <w:t xml:space="preserve">78% agreed with the aims of the centre and encouraging local people to study at home; and </w:t>
      </w:r>
    </w:p>
    <w:p w14:paraId="4064FF6A" w14:textId="77777777" w:rsidR="005919B7" w:rsidRPr="005F54EB" w:rsidRDefault="005919B7" w:rsidP="005919B7">
      <w:pPr>
        <w:pStyle w:val="AmionBodyText"/>
        <w:numPr>
          <w:ilvl w:val="1"/>
          <w:numId w:val="11"/>
        </w:numPr>
        <w:spacing w:line="240" w:lineRule="auto"/>
        <w:ind w:left="851" w:hanging="425"/>
        <w:rPr>
          <w:rFonts w:asciiTheme="minorHAnsi" w:hAnsiTheme="minorHAnsi" w:cstheme="minorHAnsi"/>
          <w:lang w:val="en-GB"/>
        </w:rPr>
      </w:pPr>
      <w:r w:rsidRPr="005F54EB">
        <w:rPr>
          <w:rFonts w:asciiTheme="minorHAnsi" w:hAnsiTheme="minorHAnsi" w:cstheme="minorHAnsi"/>
          <w:lang w:val="en-GB"/>
        </w:rPr>
        <w:t>86% of respondents strongly agreed with improving the physical link between Castle Hill and the Town Centre more attractive – which will be achieved through University Centre project.</w:t>
      </w:r>
    </w:p>
    <w:p w14:paraId="7DA75AFF" w14:textId="77777777" w:rsidR="005919B7" w:rsidRPr="005F54EB" w:rsidRDefault="005919B7" w:rsidP="005919B7">
      <w:pPr>
        <w:jc w:val="both"/>
        <w:rPr>
          <w:rFonts w:asciiTheme="minorHAnsi" w:hAnsiTheme="minorHAnsi" w:cstheme="minorHAnsi"/>
          <w:color w:val="auto"/>
          <w:lang w:val="en-US"/>
        </w:rPr>
      </w:pPr>
    </w:p>
    <w:p w14:paraId="185AF282" w14:textId="77777777" w:rsidR="005919B7" w:rsidRPr="005F54EB" w:rsidRDefault="005919B7" w:rsidP="005919B7">
      <w:pPr>
        <w:jc w:val="both"/>
        <w:rPr>
          <w:rFonts w:asciiTheme="minorHAnsi" w:hAnsiTheme="minorHAnsi" w:cstheme="minorHAnsi"/>
          <w:color w:val="auto"/>
          <w:lang w:val="en-US"/>
        </w:rPr>
      </w:pPr>
      <w:r w:rsidRPr="005F54EB">
        <w:rPr>
          <w:rFonts w:asciiTheme="minorHAnsi" w:hAnsiTheme="minorHAnsi" w:cstheme="minorHAnsi"/>
          <w:color w:val="auto"/>
          <w:lang w:val="en-US"/>
        </w:rPr>
        <w:t xml:space="preserve">In addition, the HID project will </w:t>
      </w:r>
      <w:r w:rsidRPr="005F54EB">
        <w:rPr>
          <w:rFonts w:asciiTheme="minorHAnsi" w:hAnsiTheme="minorHAnsi" w:cstheme="minorHAnsi"/>
        </w:rPr>
        <w:t xml:space="preserve">make a significant contribution towards the achievement of </w:t>
      </w:r>
      <w:proofErr w:type="gramStart"/>
      <w:r w:rsidRPr="005F54EB">
        <w:rPr>
          <w:rFonts w:asciiTheme="minorHAnsi" w:hAnsiTheme="minorHAnsi" w:cstheme="minorHAnsi"/>
        </w:rPr>
        <w:t>a number of</w:t>
      </w:r>
      <w:proofErr w:type="gramEnd"/>
      <w:r w:rsidRPr="005F54EB">
        <w:rPr>
          <w:rFonts w:asciiTheme="minorHAnsi" w:hAnsiTheme="minorHAnsi" w:cstheme="minorHAnsi"/>
        </w:rPr>
        <w:t xml:space="preserve"> priorities set out in the area’s current policies and plans, described in section 3.4 of the business case.  Improving skills and learning opportunities in Dudley aligns with skills plans at the national, regional and local level, whilst also more broadly supporting the area’s levelling up ambitions and Covid-19 recovery.</w:t>
      </w:r>
    </w:p>
    <w:p w14:paraId="74162117" w14:textId="77777777" w:rsidR="005919B7" w:rsidRPr="005F54EB" w:rsidRDefault="005919B7" w:rsidP="005919B7">
      <w:pPr>
        <w:jc w:val="both"/>
        <w:rPr>
          <w:rFonts w:asciiTheme="minorHAnsi" w:hAnsiTheme="minorHAnsi" w:cstheme="minorHAnsi"/>
          <w:color w:val="auto"/>
          <w:lang w:val="en-US"/>
        </w:rPr>
      </w:pPr>
    </w:p>
    <w:p w14:paraId="10007495" w14:textId="77777777" w:rsidR="005919B7" w:rsidRPr="005F54EB" w:rsidRDefault="005919B7" w:rsidP="005919B7">
      <w:pPr>
        <w:jc w:val="both"/>
        <w:rPr>
          <w:rFonts w:asciiTheme="minorHAnsi" w:hAnsiTheme="minorHAnsi" w:cstheme="minorHAnsi"/>
          <w:lang w:val="en-US"/>
        </w:rPr>
      </w:pPr>
      <w:r w:rsidRPr="005F54EB">
        <w:rPr>
          <w:rFonts w:asciiTheme="minorHAnsi" w:hAnsiTheme="minorHAnsi" w:cstheme="minorHAnsi"/>
          <w:color w:val="auto"/>
          <w:lang w:val="en-US"/>
        </w:rPr>
        <w:t xml:space="preserve">A theory of change to support the project is outlined in section 3.6 of the business case.  This describes the activities that will be delivered to support the following key </w:t>
      </w:r>
      <w:r w:rsidRPr="005F54EB">
        <w:rPr>
          <w:rFonts w:asciiTheme="minorHAnsi" w:hAnsiTheme="minorHAnsi" w:cstheme="minorHAnsi"/>
          <w:lang w:val="en-US"/>
        </w:rPr>
        <w:t xml:space="preserve">objectives:  </w:t>
      </w:r>
    </w:p>
    <w:p w14:paraId="7C852A1A" w14:textId="77777777" w:rsidR="005919B7" w:rsidRPr="005F54EB" w:rsidRDefault="005919B7" w:rsidP="005919B7">
      <w:pPr>
        <w:jc w:val="both"/>
        <w:rPr>
          <w:rFonts w:asciiTheme="minorHAnsi" w:hAnsiTheme="minorHAnsi" w:cstheme="minorHAnsi"/>
          <w:b/>
          <w:bCs/>
          <w:lang w:val="en-US"/>
        </w:rPr>
      </w:pPr>
    </w:p>
    <w:p w14:paraId="1BAD2D92" w14:textId="77777777" w:rsidR="005919B7" w:rsidRPr="005F54EB" w:rsidRDefault="005919B7" w:rsidP="005919B7">
      <w:pPr>
        <w:numPr>
          <w:ilvl w:val="0"/>
          <w:numId w:val="2"/>
        </w:numPr>
        <w:contextualSpacing/>
        <w:jc w:val="both"/>
        <w:rPr>
          <w:rFonts w:asciiTheme="minorHAnsi" w:eastAsia="Times New Roman" w:hAnsiTheme="minorHAnsi" w:cstheme="minorHAnsi"/>
          <w:color w:val="auto"/>
          <w:lang w:eastAsia="en-GB"/>
        </w:rPr>
      </w:pPr>
      <w:r w:rsidRPr="005F54EB">
        <w:rPr>
          <w:rFonts w:asciiTheme="minorHAnsi" w:eastAsia="Times New Roman" w:hAnsiTheme="minorHAnsi" w:cstheme="minorHAnsi"/>
          <w:color w:val="auto"/>
          <w:lang w:eastAsia="en-GB"/>
        </w:rPr>
        <w:t>Development of a new Higher Education Centre, providing 4,250 sqm of learning space, that will complement existing provision in the University Park</w:t>
      </w:r>
    </w:p>
    <w:p w14:paraId="5DB9F2E8" w14:textId="77777777" w:rsidR="005919B7" w:rsidRPr="005F54EB" w:rsidRDefault="005919B7" w:rsidP="005919B7">
      <w:pPr>
        <w:numPr>
          <w:ilvl w:val="0"/>
          <w:numId w:val="2"/>
        </w:numPr>
        <w:contextualSpacing/>
        <w:jc w:val="both"/>
        <w:rPr>
          <w:rFonts w:asciiTheme="minorHAnsi" w:eastAsia="Times New Roman" w:hAnsiTheme="minorHAnsi" w:cstheme="minorHAnsi"/>
          <w:color w:val="auto"/>
          <w:lang w:eastAsia="en-GB"/>
        </w:rPr>
      </w:pPr>
      <w:r w:rsidRPr="005F54EB">
        <w:rPr>
          <w:rFonts w:asciiTheme="minorHAnsi" w:eastAsia="Times New Roman" w:hAnsiTheme="minorHAnsi" w:cstheme="minorHAnsi"/>
          <w:color w:val="auto"/>
          <w:lang w:eastAsia="en-GB"/>
        </w:rPr>
        <w:t xml:space="preserve">Creation of approx. 1,800 learning opportunities per annum (by Year 5), to raise skills levels and provide a workforce that will drive increased productivity within the town     </w:t>
      </w:r>
    </w:p>
    <w:p w14:paraId="41A8A950" w14:textId="77777777" w:rsidR="005919B7" w:rsidRPr="005F54EB" w:rsidRDefault="005919B7" w:rsidP="005919B7">
      <w:pPr>
        <w:numPr>
          <w:ilvl w:val="0"/>
          <w:numId w:val="2"/>
        </w:numPr>
        <w:contextualSpacing/>
        <w:jc w:val="both"/>
        <w:rPr>
          <w:rFonts w:asciiTheme="minorHAnsi" w:eastAsia="Times New Roman" w:hAnsiTheme="minorHAnsi" w:cstheme="minorHAnsi"/>
          <w:color w:val="auto"/>
          <w:lang w:eastAsia="en-GB"/>
        </w:rPr>
      </w:pPr>
      <w:r w:rsidRPr="005F54EB">
        <w:rPr>
          <w:rFonts w:asciiTheme="minorHAnsi" w:eastAsia="Times New Roman" w:hAnsiTheme="minorHAnsi" w:cstheme="minorHAnsi"/>
          <w:color w:val="auto"/>
          <w:lang w:eastAsia="en-GB"/>
        </w:rPr>
        <w:t xml:space="preserve">Provision of a range of health and life sciences training courses to address skills shortages and the needs of healthcare providers in the Town  </w:t>
      </w:r>
    </w:p>
    <w:p w14:paraId="7E7445A4" w14:textId="77777777" w:rsidR="005919B7" w:rsidRPr="005F54EB" w:rsidRDefault="005919B7" w:rsidP="005919B7">
      <w:pPr>
        <w:numPr>
          <w:ilvl w:val="0"/>
          <w:numId w:val="2"/>
        </w:numPr>
        <w:contextualSpacing/>
        <w:jc w:val="both"/>
        <w:rPr>
          <w:rFonts w:asciiTheme="minorHAnsi" w:eastAsia="Times New Roman" w:hAnsiTheme="minorHAnsi" w:cstheme="minorHAnsi"/>
          <w:color w:val="auto"/>
          <w:lang w:eastAsia="en-GB"/>
        </w:rPr>
      </w:pPr>
      <w:r w:rsidRPr="005F54EB">
        <w:rPr>
          <w:rFonts w:asciiTheme="minorHAnsi" w:eastAsia="Times New Roman" w:hAnsiTheme="minorHAnsi" w:cstheme="minorHAnsi"/>
          <w:color w:val="auto"/>
          <w:lang w:eastAsia="en-GB"/>
        </w:rPr>
        <w:t xml:space="preserve">Improve connectivity between the learning quarter and the Town Centre, through improved public realm and infrastructure improvements </w:t>
      </w:r>
    </w:p>
    <w:p w14:paraId="4DA08DC7" w14:textId="77777777" w:rsidR="005919B7" w:rsidRPr="005F54EB" w:rsidRDefault="005919B7" w:rsidP="005919B7">
      <w:pPr>
        <w:numPr>
          <w:ilvl w:val="0"/>
          <w:numId w:val="2"/>
        </w:numPr>
        <w:contextualSpacing/>
        <w:jc w:val="both"/>
        <w:rPr>
          <w:rFonts w:asciiTheme="minorHAnsi" w:eastAsia="Times New Roman" w:hAnsiTheme="minorHAnsi" w:cstheme="minorHAnsi"/>
          <w:color w:val="auto"/>
          <w:lang w:eastAsia="en-GB"/>
        </w:rPr>
      </w:pPr>
      <w:r w:rsidRPr="005F54EB">
        <w:rPr>
          <w:rFonts w:asciiTheme="minorHAnsi" w:eastAsia="Times New Roman" w:hAnsiTheme="minorHAnsi" w:cstheme="minorHAnsi"/>
          <w:color w:val="auto"/>
          <w:lang w:eastAsia="en-GB"/>
        </w:rPr>
        <w:t xml:space="preserve">Provision of a new contemporary gateway into the Town and enhanced views of the Castle – which will in turn strengthen the Town’s cultural offer </w:t>
      </w:r>
    </w:p>
    <w:p w14:paraId="236BE608" w14:textId="77777777" w:rsidR="005919B7" w:rsidRPr="005F54EB" w:rsidRDefault="005919B7" w:rsidP="005919B7">
      <w:pPr>
        <w:numPr>
          <w:ilvl w:val="0"/>
          <w:numId w:val="2"/>
        </w:numPr>
        <w:contextualSpacing/>
        <w:jc w:val="both"/>
        <w:rPr>
          <w:rFonts w:asciiTheme="minorHAnsi" w:hAnsiTheme="minorHAnsi" w:cstheme="minorHAnsi"/>
        </w:rPr>
      </w:pPr>
      <w:r w:rsidRPr="005F54EB">
        <w:rPr>
          <w:rFonts w:asciiTheme="minorHAnsi" w:eastAsia="Times New Roman" w:hAnsiTheme="minorHAnsi" w:cstheme="minorHAnsi"/>
          <w:color w:val="auto"/>
          <w:lang w:eastAsia="en-GB"/>
        </w:rPr>
        <w:t xml:space="preserve">Increase footfall and the vibrancy of the Town Centre, through the attraction of new learners into the borough  </w:t>
      </w:r>
    </w:p>
    <w:p w14:paraId="7D649978" w14:textId="77777777" w:rsidR="005919B7" w:rsidRPr="005F54EB" w:rsidRDefault="005919B7" w:rsidP="005919B7">
      <w:pPr>
        <w:ind w:left="720"/>
        <w:contextualSpacing/>
        <w:jc w:val="both"/>
        <w:rPr>
          <w:rFonts w:asciiTheme="minorHAnsi" w:hAnsiTheme="minorHAnsi" w:cstheme="minorHAnsi"/>
        </w:rPr>
      </w:pPr>
    </w:p>
    <w:p w14:paraId="17608543" w14:textId="77777777" w:rsidR="005919B7" w:rsidRPr="005F54EB" w:rsidRDefault="005919B7" w:rsidP="005919B7">
      <w:pPr>
        <w:pStyle w:val="Heading2"/>
        <w:jc w:val="both"/>
        <w:rPr>
          <w:rStyle w:val="ClientTitle"/>
          <w:rFonts w:asciiTheme="minorHAnsi" w:hAnsiTheme="minorHAnsi" w:cstheme="minorHAnsi"/>
          <w:color w:val="0070C0"/>
        </w:rPr>
      </w:pPr>
      <w:r w:rsidRPr="005F54EB">
        <w:rPr>
          <w:rStyle w:val="ClientTitle"/>
          <w:rFonts w:asciiTheme="minorHAnsi" w:hAnsiTheme="minorHAnsi" w:cstheme="minorHAnsi"/>
          <w:color w:val="0070C0"/>
        </w:rPr>
        <w:lastRenderedPageBreak/>
        <w:t xml:space="preserve">Economic Case Summary </w:t>
      </w:r>
    </w:p>
    <w:p w14:paraId="6CE507C5" w14:textId="77777777" w:rsidR="005919B7" w:rsidRPr="005F54EB" w:rsidRDefault="005919B7" w:rsidP="005919B7">
      <w:pPr>
        <w:spacing w:before="120" w:after="240"/>
        <w:jc w:val="both"/>
        <w:rPr>
          <w:rFonts w:asciiTheme="minorHAnsi" w:eastAsia="Calibri" w:hAnsiTheme="minorHAnsi" w:cstheme="minorHAnsi"/>
          <w:color w:val="000000"/>
          <w:lang w:val="en-US" w:bidi="en-US"/>
        </w:rPr>
      </w:pPr>
      <w:r w:rsidRPr="005F54EB">
        <w:rPr>
          <w:rFonts w:asciiTheme="minorHAnsi" w:eastAsia="Calibri" w:hAnsiTheme="minorHAnsi" w:cstheme="minorHAnsi"/>
          <w:lang w:val="en-US" w:bidi="en-US"/>
        </w:rPr>
        <w:t xml:space="preserve">The Economic Case has assessed the extent to which the HID project </w:t>
      </w:r>
      <w:proofErr w:type="spellStart"/>
      <w:r w:rsidRPr="005F54EB">
        <w:rPr>
          <w:rFonts w:asciiTheme="minorHAnsi" w:eastAsia="Calibri" w:hAnsiTheme="minorHAnsi" w:cstheme="minorHAnsi"/>
          <w:lang w:val="en-US" w:bidi="en-US"/>
        </w:rPr>
        <w:t>optimises</w:t>
      </w:r>
      <w:proofErr w:type="spellEnd"/>
      <w:r w:rsidRPr="005F54EB">
        <w:rPr>
          <w:rFonts w:asciiTheme="minorHAnsi" w:eastAsia="Calibri" w:hAnsiTheme="minorHAnsi" w:cstheme="minorHAnsi"/>
          <w:lang w:val="en-US" w:bidi="en-US"/>
        </w:rPr>
        <w:t xml:space="preserve"> value for money.  A qualitative assessment of options has been carried out, to identify a shortlist. A quantitative comparison of the shortlisted options and the Reference Case has also been carried out to identify the preferred option. </w:t>
      </w:r>
      <w:r w:rsidRPr="005F54EB">
        <w:rPr>
          <w:rFonts w:asciiTheme="minorHAnsi" w:eastAsia="Calibri" w:hAnsiTheme="minorHAnsi" w:cstheme="minorHAnsi"/>
          <w:lang w:val="en-US"/>
        </w:rPr>
        <w:t xml:space="preserve">The assessment of economic benefits has been undertaken in full compliance with the latest HM Treasury Green Book (2020) and relevant Departmental guidance published by (MHCLG). The assumptions that apply to the assessment include: </w:t>
      </w:r>
    </w:p>
    <w:p w14:paraId="296805C2"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eastAsia="Calibri" w:hAnsiTheme="minorHAnsi" w:cstheme="minorHAnsi"/>
          <w:color w:val="000000" w:themeColor="text1"/>
          <w:sz w:val="22"/>
          <w:szCs w:val="22"/>
          <w:lang w:val="en-US"/>
        </w:rPr>
        <w:t xml:space="preserve">all short-listed options have been appraised over a 20-year period, consistent with appraisal guidance for establishment of new </w:t>
      </w:r>
      <w:proofErr w:type="gramStart"/>
      <w:r w:rsidRPr="005F54EB">
        <w:rPr>
          <w:rFonts w:asciiTheme="minorHAnsi" w:eastAsia="Calibri" w:hAnsiTheme="minorHAnsi" w:cstheme="minorHAnsi"/>
          <w:color w:val="000000" w:themeColor="text1"/>
          <w:sz w:val="22"/>
          <w:szCs w:val="22"/>
          <w:lang w:val="en-US"/>
        </w:rPr>
        <w:t>assets;</w:t>
      </w:r>
      <w:proofErr w:type="gramEnd"/>
    </w:p>
    <w:p w14:paraId="16B19A41"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eastAsia="Calibri" w:hAnsiTheme="minorHAnsi" w:cstheme="minorHAnsi"/>
          <w:color w:val="000000" w:themeColor="text1"/>
          <w:sz w:val="22"/>
          <w:szCs w:val="22"/>
          <w:lang w:val="en-US"/>
        </w:rPr>
        <w:t xml:space="preserve">where Present Value figures are presented, cost and values have been discounted at </w:t>
      </w:r>
      <w:proofErr w:type="gramStart"/>
      <w:r w:rsidRPr="005F54EB">
        <w:rPr>
          <w:rFonts w:asciiTheme="minorHAnsi" w:eastAsia="Calibri" w:hAnsiTheme="minorHAnsi" w:cstheme="minorHAnsi"/>
          <w:color w:val="000000" w:themeColor="text1"/>
          <w:sz w:val="22"/>
          <w:szCs w:val="22"/>
          <w:lang w:val="en-US"/>
        </w:rPr>
        <w:t>3.5%;</w:t>
      </w:r>
      <w:proofErr w:type="gramEnd"/>
    </w:p>
    <w:p w14:paraId="36775A9F"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hAnsiTheme="minorHAnsi" w:cstheme="minorHAnsi"/>
          <w:sz w:val="22"/>
          <w:szCs w:val="22"/>
        </w:rPr>
        <w:t>nominal financial costs have been converted to economic costs in line with the Green Book approach</w:t>
      </w:r>
      <w:r w:rsidRPr="005F54EB">
        <w:rPr>
          <w:rFonts w:asciiTheme="minorHAnsi" w:eastAsia="Calibri" w:hAnsiTheme="minorHAnsi" w:cstheme="minorHAnsi"/>
          <w:color w:val="000000" w:themeColor="text1"/>
          <w:sz w:val="22"/>
          <w:szCs w:val="22"/>
          <w:lang w:val="en-US"/>
        </w:rPr>
        <w:t xml:space="preserve"> </w:t>
      </w:r>
    </w:p>
    <w:p w14:paraId="1BDC69A5"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eastAsia="Calibri" w:hAnsiTheme="minorHAnsi" w:cstheme="minorHAnsi"/>
          <w:color w:val="000000" w:themeColor="text1"/>
          <w:sz w:val="22"/>
          <w:szCs w:val="22"/>
          <w:lang w:val="en-US"/>
        </w:rPr>
        <w:t xml:space="preserve">all </w:t>
      </w:r>
      <w:proofErr w:type="spellStart"/>
      <w:r w:rsidRPr="005F54EB">
        <w:rPr>
          <w:rFonts w:asciiTheme="minorHAnsi" w:eastAsia="Calibri" w:hAnsiTheme="minorHAnsi" w:cstheme="minorHAnsi"/>
          <w:color w:val="000000" w:themeColor="text1"/>
          <w:sz w:val="22"/>
          <w:szCs w:val="22"/>
          <w:lang w:val="en-US"/>
        </w:rPr>
        <w:t>monetised</w:t>
      </w:r>
      <w:proofErr w:type="spellEnd"/>
      <w:r w:rsidRPr="005F54EB">
        <w:rPr>
          <w:rFonts w:asciiTheme="minorHAnsi" w:eastAsia="Calibri" w:hAnsiTheme="minorHAnsi" w:cstheme="minorHAnsi"/>
          <w:color w:val="000000" w:themeColor="text1"/>
          <w:sz w:val="22"/>
          <w:szCs w:val="22"/>
          <w:lang w:val="en-US"/>
        </w:rPr>
        <w:t xml:space="preserve"> costs and benefits have been converted to 2021/22 prices, with general inflation </w:t>
      </w:r>
      <w:proofErr w:type="gramStart"/>
      <w:r w:rsidRPr="005F54EB">
        <w:rPr>
          <w:rFonts w:asciiTheme="minorHAnsi" w:eastAsia="Calibri" w:hAnsiTheme="minorHAnsi" w:cstheme="minorHAnsi"/>
          <w:color w:val="000000" w:themeColor="text1"/>
          <w:sz w:val="22"/>
          <w:szCs w:val="22"/>
          <w:lang w:val="en-US"/>
        </w:rPr>
        <w:t>excluded;</w:t>
      </w:r>
      <w:proofErr w:type="gramEnd"/>
    </w:p>
    <w:p w14:paraId="71CD9749"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eastAsia="Calibri" w:hAnsiTheme="minorHAnsi" w:cstheme="minorHAnsi"/>
          <w:color w:val="000000" w:themeColor="text1"/>
          <w:sz w:val="22"/>
          <w:szCs w:val="22"/>
          <w:lang w:val="en-US"/>
        </w:rPr>
        <w:t>the costs and benefits of the intervention options are presented in net terms and relative to the reference case. Adjustments have also been made for leakage, displacement, and multiplier effects where appropriate; and</w:t>
      </w:r>
    </w:p>
    <w:p w14:paraId="7731BC22" w14:textId="77777777" w:rsidR="005919B7" w:rsidRPr="005F54EB" w:rsidRDefault="005919B7" w:rsidP="005919B7">
      <w:pPr>
        <w:pStyle w:val="ListParagraph"/>
        <w:numPr>
          <w:ilvl w:val="0"/>
          <w:numId w:val="12"/>
        </w:numPr>
        <w:spacing w:after="120"/>
        <w:ind w:left="709" w:hanging="425"/>
        <w:jc w:val="both"/>
        <w:rPr>
          <w:rFonts w:asciiTheme="minorHAnsi" w:eastAsia="Calibri" w:hAnsiTheme="minorHAnsi" w:cstheme="minorHAnsi"/>
          <w:color w:val="000000"/>
          <w:sz w:val="22"/>
          <w:szCs w:val="22"/>
          <w:lang w:val="en-US"/>
        </w:rPr>
      </w:pPr>
      <w:r w:rsidRPr="005F54EB">
        <w:rPr>
          <w:rFonts w:asciiTheme="minorHAnsi" w:eastAsia="Calibri" w:hAnsiTheme="minorHAnsi" w:cstheme="minorHAnsi"/>
          <w:color w:val="000000"/>
          <w:sz w:val="22"/>
          <w:szCs w:val="22"/>
          <w:lang w:val="en-US"/>
        </w:rPr>
        <w:t>optimism bias has been calculated for each short-listed option using HM Treasury methodology and included in the value for money analysis.</w:t>
      </w:r>
    </w:p>
    <w:p w14:paraId="4A0B64DA" w14:textId="77777777" w:rsidR="005919B7" w:rsidRPr="005F54EB" w:rsidRDefault="005919B7" w:rsidP="005919B7">
      <w:pPr>
        <w:spacing w:after="120"/>
        <w:jc w:val="both"/>
        <w:rPr>
          <w:rFonts w:asciiTheme="minorHAnsi" w:hAnsiTheme="minorHAnsi" w:cstheme="minorHAnsi"/>
        </w:rPr>
      </w:pPr>
      <w:r w:rsidRPr="005F54EB">
        <w:rPr>
          <w:rFonts w:asciiTheme="minorHAnsi" w:hAnsiTheme="minorHAnsi" w:cstheme="minorHAnsi"/>
        </w:rPr>
        <w:t>Analysis of the long-listed options resulted in three options being shortlisted for more detailed assessment:</w:t>
      </w:r>
    </w:p>
    <w:p w14:paraId="3228ECD1" w14:textId="77777777" w:rsidR="005919B7" w:rsidRPr="005F54EB" w:rsidRDefault="005919B7" w:rsidP="005919B7">
      <w:pPr>
        <w:pStyle w:val="ListParagraph"/>
        <w:numPr>
          <w:ilvl w:val="0"/>
          <w:numId w:val="5"/>
        </w:numPr>
        <w:spacing w:before="60" w:after="60"/>
        <w:ind w:left="714" w:hanging="357"/>
        <w:jc w:val="both"/>
        <w:rPr>
          <w:rFonts w:asciiTheme="minorHAnsi" w:hAnsiTheme="minorHAnsi" w:cstheme="minorHAnsi"/>
          <w:sz w:val="22"/>
          <w:szCs w:val="22"/>
        </w:rPr>
      </w:pPr>
      <w:r w:rsidRPr="005F54EB">
        <w:rPr>
          <w:rFonts w:asciiTheme="minorHAnsi" w:hAnsiTheme="minorHAnsi" w:cstheme="minorHAnsi"/>
          <w:sz w:val="22"/>
          <w:szCs w:val="22"/>
        </w:rPr>
        <w:t>Option 1: Do Nothing (Reference Case)</w:t>
      </w:r>
    </w:p>
    <w:p w14:paraId="6711DDCC" w14:textId="77777777" w:rsidR="005919B7" w:rsidRPr="005F54EB" w:rsidRDefault="005919B7" w:rsidP="005919B7">
      <w:pPr>
        <w:pStyle w:val="ListParagraph"/>
        <w:numPr>
          <w:ilvl w:val="0"/>
          <w:numId w:val="5"/>
        </w:numPr>
        <w:spacing w:before="60" w:after="60"/>
        <w:ind w:left="714" w:hanging="357"/>
        <w:jc w:val="both"/>
        <w:rPr>
          <w:rFonts w:asciiTheme="minorHAnsi" w:hAnsiTheme="minorHAnsi" w:cstheme="minorHAnsi"/>
          <w:sz w:val="22"/>
          <w:szCs w:val="22"/>
        </w:rPr>
      </w:pPr>
      <w:r w:rsidRPr="005F54EB">
        <w:rPr>
          <w:rFonts w:asciiTheme="minorHAnsi" w:hAnsiTheme="minorHAnsi" w:cstheme="minorHAnsi"/>
          <w:sz w:val="22"/>
          <w:szCs w:val="22"/>
        </w:rPr>
        <w:t>Option 2: New build – reduced footprint providing 1,250 sqm of learning space</w:t>
      </w:r>
    </w:p>
    <w:p w14:paraId="3376CD14" w14:textId="77777777" w:rsidR="005919B7" w:rsidRPr="005F54EB" w:rsidRDefault="005919B7" w:rsidP="005919B7">
      <w:pPr>
        <w:pStyle w:val="ListParagraph"/>
        <w:numPr>
          <w:ilvl w:val="0"/>
          <w:numId w:val="5"/>
        </w:numPr>
        <w:spacing w:before="60" w:after="60"/>
        <w:ind w:left="714" w:hanging="357"/>
        <w:jc w:val="both"/>
        <w:rPr>
          <w:rFonts w:asciiTheme="minorHAnsi" w:hAnsiTheme="minorHAnsi" w:cstheme="minorHAnsi"/>
          <w:sz w:val="22"/>
          <w:szCs w:val="22"/>
        </w:rPr>
      </w:pPr>
      <w:r w:rsidRPr="005F54EB">
        <w:rPr>
          <w:rFonts w:asciiTheme="minorHAnsi" w:hAnsiTheme="minorHAnsi" w:cstheme="minorHAnsi"/>
          <w:sz w:val="22"/>
          <w:szCs w:val="22"/>
        </w:rPr>
        <w:t xml:space="preserve">Option 3: New build – preferred option providing 4,250 sqm of learning space </w:t>
      </w:r>
    </w:p>
    <w:p w14:paraId="6FA6364E" w14:textId="77777777" w:rsidR="005919B7" w:rsidRPr="005F54EB" w:rsidRDefault="005919B7" w:rsidP="005919B7">
      <w:pPr>
        <w:spacing w:after="120"/>
        <w:jc w:val="both"/>
        <w:rPr>
          <w:rFonts w:asciiTheme="minorHAnsi" w:hAnsiTheme="minorHAnsi" w:cstheme="minorHAnsi"/>
        </w:rPr>
      </w:pPr>
      <w:r w:rsidRPr="005F54EB">
        <w:rPr>
          <w:rFonts w:asciiTheme="minorHAnsi" w:hAnsiTheme="minorHAnsi" w:cstheme="minorHAnsi"/>
        </w:rPr>
        <w:t xml:space="preserve">The benefits assessed relate to: </w:t>
      </w:r>
    </w:p>
    <w:p w14:paraId="567E3776" w14:textId="77777777" w:rsidR="005919B7" w:rsidRPr="005F54EB" w:rsidRDefault="005919B7" w:rsidP="005919B7">
      <w:pPr>
        <w:pStyle w:val="ListParagraph"/>
        <w:numPr>
          <w:ilvl w:val="0"/>
          <w:numId w:val="3"/>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Land value uplift</w:t>
      </w:r>
      <w:r w:rsidRPr="005F54EB">
        <w:rPr>
          <w:rFonts w:asciiTheme="minorHAnsi" w:hAnsiTheme="minorHAnsi" w:cstheme="minorHAnsi"/>
          <w:sz w:val="22"/>
          <w:szCs w:val="22"/>
        </w:rPr>
        <w:t xml:space="preserve">: Analysis of changes in land values which reflect the economic efficiency benefits of converting land into a more productive use. The existing value of the land is subtracted from the value of the more productive use. </w:t>
      </w:r>
    </w:p>
    <w:p w14:paraId="43227DB6" w14:textId="77777777" w:rsidR="005919B7" w:rsidRPr="005F54EB" w:rsidRDefault="005919B7" w:rsidP="005919B7">
      <w:pPr>
        <w:pStyle w:val="ListParagraph"/>
        <w:spacing w:before="60" w:after="60"/>
        <w:ind w:left="426"/>
        <w:jc w:val="both"/>
        <w:rPr>
          <w:rFonts w:asciiTheme="minorHAnsi" w:hAnsiTheme="minorHAnsi" w:cstheme="minorHAnsi"/>
          <w:sz w:val="22"/>
          <w:szCs w:val="22"/>
        </w:rPr>
      </w:pPr>
    </w:p>
    <w:p w14:paraId="1D3D92C6" w14:textId="77777777" w:rsidR="005919B7" w:rsidRPr="005F54EB" w:rsidRDefault="005919B7" w:rsidP="005919B7">
      <w:pPr>
        <w:pStyle w:val="ListParagraph"/>
        <w:numPr>
          <w:ilvl w:val="0"/>
          <w:numId w:val="3"/>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Wider land value uplift</w:t>
      </w:r>
      <w:r w:rsidRPr="005F54EB">
        <w:rPr>
          <w:rFonts w:asciiTheme="minorHAnsi" w:hAnsiTheme="minorHAnsi" w:cstheme="minorHAnsi"/>
          <w:sz w:val="22"/>
          <w:szCs w:val="22"/>
        </w:rPr>
        <w:t>: Wider placemaking effects resulting from the proposed development of the new University Centre which the funding programme will facilitate have been estimated using Valuation Office Agency (VOA) data for commercial analysis and Council Tax band data for the residential value assessment. A cautious impact area has been used consisting of LSOAs and postcodes within 500 metres of the site.</w:t>
      </w:r>
    </w:p>
    <w:p w14:paraId="5E347FBC" w14:textId="77777777" w:rsidR="005919B7" w:rsidRPr="005F54EB" w:rsidRDefault="005919B7" w:rsidP="005919B7">
      <w:pPr>
        <w:pStyle w:val="ListParagraph"/>
        <w:rPr>
          <w:rFonts w:asciiTheme="minorHAnsi" w:hAnsiTheme="minorHAnsi" w:cstheme="minorHAnsi"/>
          <w:sz w:val="22"/>
          <w:szCs w:val="22"/>
        </w:rPr>
      </w:pPr>
    </w:p>
    <w:p w14:paraId="1F1525EB" w14:textId="11F933C5" w:rsidR="005919B7" w:rsidRPr="005F54EB" w:rsidRDefault="005919B7" w:rsidP="005919B7">
      <w:pPr>
        <w:pStyle w:val="ListParagraph"/>
        <w:numPr>
          <w:ilvl w:val="0"/>
          <w:numId w:val="3"/>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Educational/productivity benefits</w:t>
      </w:r>
      <w:r w:rsidRPr="005F54EB">
        <w:rPr>
          <w:rFonts w:asciiTheme="minorHAnsi" w:hAnsiTheme="minorHAnsi" w:cstheme="minorHAnsi"/>
          <w:sz w:val="22"/>
          <w:szCs w:val="22"/>
        </w:rPr>
        <w:t xml:space="preserve">: The project will deliver programmes for students on higher degree / apprenticeship level 4+, provider (classroom) based NVQ Level 4+, and undergraduate degrees. Projected student numbers and completions have been provided by the University of Worcester based on the teaching space available and facilities within the new centre. The benefits calculated relate to productivity impacts or wage premiums resulting from skills uplift. </w:t>
      </w:r>
    </w:p>
    <w:p w14:paraId="095C5AF4" w14:textId="77777777" w:rsidR="005919B7" w:rsidRPr="005F54EB" w:rsidRDefault="005919B7" w:rsidP="005919B7">
      <w:pPr>
        <w:pStyle w:val="ListParagraph"/>
        <w:rPr>
          <w:rFonts w:asciiTheme="minorHAnsi" w:hAnsiTheme="minorHAnsi" w:cstheme="minorHAnsi"/>
          <w:sz w:val="22"/>
          <w:szCs w:val="22"/>
        </w:rPr>
      </w:pPr>
    </w:p>
    <w:p w14:paraId="3719E70F" w14:textId="77777777" w:rsidR="005919B7" w:rsidRPr="005F54EB" w:rsidRDefault="005919B7" w:rsidP="005919B7">
      <w:pPr>
        <w:pStyle w:val="ListParagraph"/>
        <w:numPr>
          <w:ilvl w:val="0"/>
          <w:numId w:val="3"/>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Amenity value</w:t>
      </w:r>
      <w:r w:rsidRPr="005F54EB">
        <w:rPr>
          <w:rFonts w:asciiTheme="minorHAnsi" w:hAnsiTheme="minorHAnsi" w:cstheme="minorHAnsi"/>
          <w:sz w:val="22"/>
          <w:szCs w:val="22"/>
        </w:rPr>
        <w:t>: The project would enable between 6,500 sqm of new and improved public realm within the associated development. This will provide enhanced amenity benefits for the local population, using values within the MHCLG Appraisal Guide.</w:t>
      </w:r>
    </w:p>
    <w:p w14:paraId="77C1E890" w14:textId="77777777" w:rsidR="005919B7" w:rsidRPr="005F54EB" w:rsidRDefault="005919B7" w:rsidP="005919B7">
      <w:pPr>
        <w:pStyle w:val="ListParagraph"/>
        <w:rPr>
          <w:rFonts w:asciiTheme="minorHAnsi" w:hAnsiTheme="minorHAnsi" w:cstheme="minorHAnsi"/>
          <w:sz w:val="22"/>
          <w:szCs w:val="22"/>
        </w:rPr>
      </w:pPr>
    </w:p>
    <w:p w14:paraId="6503CC67" w14:textId="77777777" w:rsidR="005919B7" w:rsidRPr="005F54EB" w:rsidRDefault="005919B7" w:rsidP="005919B7">
      <w:pPr>
        <w:pStyle w:val="ListParagraph"/>
        <w:numPr>
          <w:ilvl w:val="0"/>
          <w:numId w:val="3"/>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Wider and social benefits</w:t>
      </w:r>
      <w:r w:rsidRPr="005F54EB">
        <w:rPr>
          <w:rFonts w:asciiTheme="minorHAnsi" w:hAnsiTheme="minorHAnsi" w:cstheme="minorHAnsi"/>
          <w:sz w:val="22"/>
          <w:szCs w:val="22"/>
        </w:rPr>
        <w:t>: The project will provide a series of wider social and economic benefits arising from associated employment:</w:t>
      </w:r>
    </w:p>
    <w:p w14:paraId="5DC5816E" w14:textId="77777777" w:rsidR="005919B7" w:rsidRPr="005F54EB" w:rsidRDefault="005919B7" w:rsidP="005919B7">
      <w:pPr>
        <w:pStyle w:val="ListParagraph"/>
        <w:numPr>
          <w:ilvl w:val="2"/>
          <w:numId w:val="6"/>
        </w:numPr>
        <w:spacing w:before="60" w:after="60"/>
        <w:ind w:left="851" w:hanging="425"/>
        <w:jc w:val="both"/>
        <w:rPr>
          <w:rFonts w:asciiTheme="minorHAnsi" w:hAnsiTheme="minorHAnsi" w:cstheme="minorHAnsi"/>
          <w:sz w:val="22"/>
          <w:szCs w:val="22"/>
        </w:rPr>
      </w:pPr>
      <w:r w:rsidRPr="005F54EB">
        <w:rPr>
          <w:rFonts w:asciiTheme="minorHAnsi" w:hAnsiTheme="minorHAnsi" w:cstheme="minorHAnsi"/>
          <w:b/>
          <w:bCs/>
          <w:sz w:val="22"/>
          <w:szCs w:val="22"/>
        </w:rPr>
        <w:lastRenderedPageBreak/>
        <w:t>Labour supply benefits</w:t>
      </w:r>
      <w:r w:rsidRPr="005F54EB">
        <w:rPr>
          <w:rFonts w:asciiTheme="minorHAnsi" w:hAnsiTheme="minorHAnsi" w:cstheme="minorHAnsi"/>
          <w:sz w:val="22"/>
          <w:szCs w:val="22"/>
        </w:rPr>
        <w:t xml:space="preserve">: The project will have benefits associated with employment creation and reduction in barriers to employment for local workers through new high-quality education and research floorspace. The reduced barriers to entry will generate local economic benefits for the area, as calculated through labour supply benefits in line with MHCLG guidance. </w:t>
      </w:r>
    </w:p>
    <w:p w14:paraId="7D033605" w14:textId="77777777" w:rsidR="005919B7" w:rsidRPr="005F54EB" w:rsidRDefault="005919B7" w:rsidP="005919B7">
      <w:pPr>
        <w:pStyle w:val="ListParagraph"/>
        <w:numPr>
          <w:ilvl w:val="2"/>
          <w:numId w:val="6"/>
        </w:numPr>
        <w:spacing w:before="60" w:after="60"/>
        <w:ind w:left="851" w:hanging="425"/>
        <w:jc w:val="both"/>
        <w:rPr>
          <w:rFonts w:asciiTheme="minorHAnsi" w:hAnsiTheme="minorHAnsi" w:cstheme="minorHAnsi"/>
          <w:sz w:val="22"/>
          <w:szCs w:val="22"/>
        </w:rPr>
      </w:pPr>
      <w:r w:rsidRPr="005F54EB">
        <w:rPr>
          <w:rFonts w:asciiTheme="minorHAnsi" w:hAnsiTheme="minorHAnsi" w:cstheme="minorHAnsi"/>
          <w:b/>
          <w:bCs/>
          <w:sz w:val="22"/>
          <w:szCs w:val="22"/>
        </w:rPr>
        <w:t>Residents into employment</w:t>
      </w:r>
      <w:r w:rsidRPr="005F54EB">
        <w:rPr>
          <w:rFonts w:asciiTheme="minorHAnsi" w:hAnsiTheme="minorHAnsi" w:cstheme="minorHAnsi"/>
          <w:sz w:val="22"/>
          <w:szCs w:val="22"/>
        </w:rPr>
        <w:t xml:space="preserve">: Wellbeing benefits associated with unemployed residents moving into new jobs arising from the additional employment-generating floorspace of the project. </w:t>
      </w:r>
    </w:p>
    <w:p w14:paraId="7F3C4E94" w14:textId="77777777" w:rsidR="005919B7" w:rsidRPr="005F54EB" w:rsidRDefault="005919B7" w:rsidP="005919B7">
      <w:pPr>
        <w:pStyle w:val="ListParagraph"/>
        <w:spacing w:before="60" w:after="60"/>
        <w:ind w:left="426"/>
        <w:jc w:val="both"/>
        <w:rPr>
          <w:rFonts w:asciiTheme="minorHAnsi" w:hAnsiTheme="minorHAnsi" w:cstheme="minorHAnsi"/>
          <w:sz w:val="22"/>
          <w:szCs w:val="22"/>
        </w:rPr>
      </w:pPr>
    </w:p>
    <w:p w14:paraId="479F9234" w14:textId="77777777" w:rsidR="005919B7" w:rsidRPr="005F54EB" w:rsidRDefault="005919B7" w:rsidP="005919B7">
      <w:pPr>
        <w:pStyle w:val="ListParagraph"/>
        <w:numPr>
          <w:ilvl w:val="3"/>
          <w:numId w:val="7"/>
        </w:numPr>
        <w:spacing w:before="60" w:after="60"/>
        <w:ind w:left="426" w:hanging="426"/>
        <w:jc w:val="both"/>
        <w:rPr>
          <w:rFonts w:asciiTheme="minorHAnsi" w:hAnsiTheme="minorHAnsi" w:cstheme="minorHAnsi"/>
          <w:sz w:val="22"/>
          <w:szCs w:val="22"/>
        </w:rPr>
      </w:pPr>
      <w:r w:rsidRPr="005F54EB">
        <w:rPr>
          <w:rFonts w:asciiTheme="minorHAnsi" w:hAnsiTheme="minorHAnsi" w:cstheme="minorHAnsi"/>
          <w:b/>
          <w:bCs/>
          <w:sz w:val="22"/>
          <w:szCs w:val="22"/>
        </w:rPr>
        <w:t>Distributional analysis</w:t>
      </w:r>
      <w:r w:rsidRPr="005F54EB">
        <w:rPr>
          <w:rFonts w:asciiTheme="minorHAnsi" w:hAnsiTheme="minorHAnsi" w:cstheme="minorHAnsi"/>
          <w:sz w:val="22"/>
          <w:szCs w:val="22"/>
        </w:rPr>
        <w:t xml:space="preserve"> – a key priority of the Towns Fund is to help ‘level-up’ the country – to rebalance activity from London and the South East to deteriorating town centres that have fallen behind. The assessment of benefits has therefore included an economic analysis of this effect within the modelling.</w:t>
      </w:r>
    </w:p>
    <w:p w14:paraId="7CCEB9B0" w14:textId="52FB6908" w:rsidR="005919B7" w:rsidRDefault="005919B7" w:rsidP="005919B7">
      <w:pPr>
        <w:spacing w:after="120"/>
        <w:jc w:val="both"/>
        <w:rPr>
          <w:rFonts w:asciiTheme="minorHAnsi" w:hAnsiTheme="minorHAnsi" w:cstheme="minorHAnsi"/>
        </w:rPr>
      </w:pPr>
      <w:r w:rsidRPr="00420F57">
        <w:rPr>
          <w:rFonts w:asciiTheme="minorHAnsi" w:hAnsiTheme="minorHAnsi" w:cstheme="minorHAnsi"/>
        </w:rPr>
        <w:t>The key results of the Economic Case are summarised in the Appraisal Summary Table</w:t>
      </w:r>
      <w:r>
        <w:rPr>
          <w:rFonts w:asciiTheme="minorHAnsi" w:hAnsiTheme="minorHAnsi" w:cstheme="minorHAnsi"/>
        </w:rPr>
        <w:t xml:space="preserve"> ES1</w:t>
      </w:r>
      <w:r w:rsidRPr="00420F57">
        <w:rPr>
          <w:rFonts w:asciiTheme="minorHAnsi" w:hAnsiTheme="minorHAnsi" w:cstheme="minorHAnsi"/>
        </w:rPr>
        <w:t>. Option 3 has been identified as the preferred option on the basis that it offers the most effective and efficient approach accounting for the known risks associated with each option</w:t>
      </w:r>
      <w:r>
        <w:rPr>
          <w:rFonts w:asciiTheme="minorHAnsi" w:hAnsiTheme="minorHAnsi" w:cstheme="minorHAnsi"/>
        </w:rPr>
        <w:t>.  This option has an</w:t>
      </w:r>
      <w:r w:rsidRPr="00420F57">
        <w:rPr>
          <w:rFonts w:asciiTheme="minorHAnsi" w:hAnsiTheme="minorHAnsi" w:cstheme="minorHAnsi"/>
        </w:rPr>
        <w:t xml:space="preserve"> initial BCR of </w:t>
      </w:r>
      <w:r>
        <w:rPr>
          <w:rFonts w:asciiTheme="minorHAnsi" w:hAnsiTheme="minorHAnsi" w:cstheme="minorHAnsi"/>
        </w:rPr>
        <w:t>3.0</w:t>
      </w:r>
      <w:r w:rsidRPr="00420F57">
        <w:rPr>
          <w:rFonts w:asciiTheme="minorHAnsi" w:hAnsiTheme="minorHAnsi" w:cstheme="minorHAnsi"/>
        </w:rPr>
        <w:t xml:space="preserve">:1 and </w:t>
      </w:r>
      <w:r>
        <w:rPr>
          <w:rFonts w:asciiTheme="minorHAnsi" w:hAnsiTheme="minorHAnsi" w:cstheme="minorHAnsi"/>
        </w:rPr>
        <w:t xml:space="preserve">an </w:t>
      </w:r>
      <w:r w:rsidRPr="00420F57">
        <w:rPr>
          <w:rFonts w:asciiTheme="minorHAnsi" w:hAnsiTheme="minorHAnsi" w:cstheme="minorHAnsi"/>
        </w:rPr>
        <w:t xml:space="preserve">adjusted BCR of </w:t>
      </w:r>
      <w:r>
        <w:rPr>
          <w:rFonts w:asciiTheme="minorHAnsi" w:hAnsiTheme="minorHAnsi" w:cstheme="minorHAnsi"/>
        </w:rPr>
        <w:t>4.7</w:t>
      </w:r>
      <w:r w:rsidRPr="00420F57">
        <w:rPr>
          <w:rFonts w:asciiTheme="minorHAnsi" w:hAnsiTheme="minorHAnsi" w:cstheme="minorHAnsi"/>
        </w:rPr>
        <w:t>:1</w:t>
      </w:r>
      <w:r>
        <w:rPr>
          <w:rFonts w:asciiTheme="minorHAnsi" w:hAnsiTheme="minorHAnsi" w:cstheme="minorHAnsi"/>
        </w:rPr>
        <w:t xml:space="preserve"> (which incorporates the distributional analysis). </w:t>
      </w:r>
      <w:r w:rsidRPr="00420F57">
        <w:rPr>
          <w:rFonts w:asciiTheme="minorHAnsi" w:hAnsiTheme="minorHAnsi" w:cstheme="minorHAnsi"/>
        </w:rPr>
        <w:t xml:space="preserve">These figures demonstrate Option </w:t>
      </w:r>
      <w:r>
        <w:rPr>
          <w:rFonts w:asciiTheme="minorHAnsi" w:hAnsiTheme="minorHAnsi" w:cstheme="minorHAnsi"/>
        </w:rPr>
        <w:t xml:space="preserve">3 </w:t>
      </w:r>
      <w:r w:rsidRPr="00420F57">
        <w:rPr>
          <w:rFonts w:asciiTheme="minorHAnsi" w:hAnsiTheme="minorHAnsi" w:cstheme="minorHAnsi"/>
        </w:rPr>
        <w:t xml:space="preserve">represents ‘good’ or ‘high’ value for money. Sensitivity analysis demonstrates that the preferred option remains robust to changes in key outputs of costs for the delivery of economic benefits and value for money. </w:t>
      </w:r>
    </w:p>
    <w:p w14:paraId="21B67FDD" w14:textId="77777777" w:rsidR="005919B7" w:rsidRDefault="005919B7" w:rsidP="005919B7">
      <w:pPr>
        <w:spacing w:after="120"/>
        <w:jc w:val="both"/>
        <w:rPr>
          <w:rFonts w:asciiTheme="minorHAnsi" w:hAnsiTheme="minorHAnsi" w:cstheme="minorHAnsi"/>
          <w:b/>
          <w:bCs/>
        </w:rPr>
      </w:pPr>
      <w:r w:rsidRPr="00420F57">
        <w:rPr>
          <w:rFonts w:asciiTheme="minorHAnsi" w:hAnsiTheme="minorHAnsi" w:cstheme="minorHAnsi"/>
          <w:b/>
          <w:bCs/>
        </w:rPr>
        <w:t>ES Table 1: Appraisal Summary Table</w:t>
      </w:r>
    </w:p>
    <w:tbl>
      <w:tblPr>
        <w:tblStyle w:val="TableGrid"/>
        <w:tblW w:w="4934" w:type="pct"/>
        <w:shd w:val="clear" w:color="auto" w:fill="D9D9D9"/>
        <w:tblLook w:val="04A0" w:firstRow="1" w:lastRow="0" w:firstColumn="1" w:lastColumn="0" w:noHBand="0" w:noVBand="1"/>
      </w:tblPr>
      <w:tblGrid>
        <w:gridCol w:w="3884"/>
        <w:gridCol w:w="1671"/>
        <w:gridCol w:w="1671"/>
        <w:gridCol w:w="1671"/>
      </w:tblGrid>
      <w:tr w:rsidR="005919B7" w:rsidRPr="002949EA" w14:paraId="3D1DE90E"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tcPr>
          <w:p w14:paraId="7153FC8D" w14:textId="77777777" w:rsidR="005919B7" w:rsidRPr="002949EA" w:rsidRDefault="005919B7" w:rsidP="00FD7A99">
            <w:pPr>
              <w:spacing w:before="40" w:after="40"/>
              <w:jc w:val="both"/>
              <w:rPr>
                <w:rFonts w:asciiTheme="minorHAnsi" w:eastAsia="Calibri" w:hAnsiTheme="minorHAnsi" w:cstheme="minorHAnsi"/>
                <w:color w:val="000000"/>
              </w:rPr>
            </w:pPr>
          </w:p>
        </w:tc>
        <w:tc>
          <w:tcPr>
            <w:tcW w:w="939" w:type="pct"/>
            <w:tcBorders>
              <w:top w:val="single" w:sz="4" w:space="0" w:color="auto"/>
              <w:left w:val="single" w:sz="4" w:space="0" w:color="auto"/>
              <w:bottom w:val="single" w:sz="4" w:space="0" w:color="auto"/>
              <w:right w:val="single" w:sz="4" w:space="0" w:color="auto"/>
            </w:tcBorders>
            <w:shd w:val="clear" w:color="auto" w:fill="D9D9D9"/>
            <w:hideMark/>
          </w:tcPr>
          <w:p w14:paraId="3E0CA110"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Option 1</w:t>
            </w:r>
          </w:p>
        </w:tc>
        <w:tc>
          <w:tcPr>
            <w:tcW w:w="939" w:type="pct"/>
            <w:tcBorders>
              <w:top w:val="single" w:sz="4" w:space="0" w:color="auto"/>
              <w:left w:val="single" w:sz="4" w:space="0" w:color="auto"/>
              <w:bottom w:val="single" w:sz="4" w:space="0" w:color="auto"/>
              <w:right w:val="single" w:sz="4" w:space="0" w:color="auto"/>
            </w:tcBorders>
            <w:shd w:val="clear" w:color="auto" w:fill="D9D9D9"/>
            <w:hideMark/>
          </w:tcPr>
          <w:p w14:paraId="058BB5C3"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Option 2</w:t>
            </w:r>
          </w:p>
        </w:tc>
        <w:tc>
          <w:tcPr>
            <w:tcW w:w="939" w:type="pct"/>
            <w:tcBorders>
              <w:top w:val="single" w:sz="4" w:space="0" w:color="auto"/>
              <w:left w:val="single" w:sz="4" w:space="0" w:color="auto"/>
              <w:bottom w:val="single" w:sz="4" w:space="0" w:color="auto"/>
              <w:right w:val="single" w:sz="4" w:space="0" w:color="auto"/>
            </w:tcBorders>
            <w:shd w:val="clear" w:color="auto" w:fill="D9D9D9"/>
            <w:hideMark/>
          </w:tcPr>
          <w:p w14:paraId="5BC8B03D"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Option 3</w:t>
            </w:r>
          </w:p>
        </w:tc>
      </w:tr>
      <w:tr w:rsidR="005919B7" w:rsidRPr="002949EA" w14:paraId="067C0B2F"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3F829035" w14:textId="77777777" w:rsidR="005919B7" w:rsidRPr="002949EA" w:rsidRDefault="005919B7" w:rsidP="00FD7A99">
            <w:pPr>
              <w:spacing w:before="40" w:after="40"/>
              <w:jc w:val="both"/>
              <w:rPr>
                <w:rFonts w:asciiTheme="minorHAnsi" w:eastAsia="Calibri" w:hAnsiTheme="minorHAnsi" w:cstheme="minorHAnsi"/>
                <w:color w:val="auto"/>
              </w:rPr>
            </w:pPr>
            <w:r w:rsidRPr="002949EA">
              <w:rPr>
                <w:rFonts w:asciiTheme="minorHAnsi" w:eastAsia="Calibri" w:hAnsiTheme="minorHAnsi" w:cstheme="minorHAnsi"/>
                <w:color w:val="auto"/>
              </w:rPr>
              <w:t>[A] PV of initial benefits (£000)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0EE31E18"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A063438"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£24,466</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1B0E1659"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£86,050</w:t>
            </w:r>
          </w:p>
        </w:tc>
      </w:tr>
      <w:tr w:rsidR="005919B7" w:rsidRPr="002949EA" w14:paraId="0B96F66F"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5FC5BC0D" w14:textId="77777777" w:rsidR="005919B7" w:rsidRPr="002949EA" w:rsidRDefault="005919B7" w:rsidP="00FD7A99">
            <w:pPr>
              <w:spacing w:before="40" w:after="40"/>
              <w:jc w:val="both"/>
              <w:rPr>
                <w:rFonts w:asciiTheme="minorHAnsi" w:eastAsia="Calibri" w:hAnsiTheme="minorHAnsi" w:cstheme="minorHAnsi"/>
                <w:color w:val="auto"/>
              </w:rPr>
            </w:pPr>
            <w:r w:rsidRPr="002949EA">
              <w:rPr>
                <w:rFonts w:asciiTheme="minorHAnsi" w:eastAsia="Calibri" w:hAnsiTheme="minorHAnsi" w:cstheme="minorHAnsi"/>
                <w:color w:val="auto"/>
              </w:rPr>
              <w:t>[B] PV of adjusted benefits (£000)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FCC1E7B"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14BA33C5"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£38,149</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4660D34C"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£134,175</w:t>
            </w:r>
          </w:p>
        </w:tc>
      </w:tr>
      <w:tr w:rsidR="005919B7" w:rsidRPr="002949EA" w14:paraId="40DAA104"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3978C269" w14:textId="77777777" w:rsidR="005919B7" w:rsidRPr="002949EA" w:rsidRDefault="005919B7" w:rsidP="00FD7A99">
            <w:pPr>
              <w:spacing w:before="40" w:after="40"/>
              <w:jc w:val="both"/>
              <w:rPr>
                <w:rFonts w:asciiTheme="minorHAnsi" w:eastAsia="Calibri" w:hAnsiTheme="minorHAnsi" w:cstheme="minorHAnsi"/>
                <w:color w:val="000000"/>
              </w:rPr>
            </w:pPr>
            <w:r w:rsidRPr="002949EA">
              <w:rPr>
                <w:rFonts w:asciiTheme="minorHAnsi" w:eastAsia="Calibri" w:hAnsiTheme="minorHAnsi" w:cstheme="minorHAnsi"/>
                <w:color w:val="000000"/>
              </w:rPr>
              <w:t>[C] PV of public sector costs (£000)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68C717EC"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8EDBA83"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£15,640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1318FE26"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£28,376</w:t>
            </w:r>
          </w:p>
        </w:tc>
      </w:tr>
      <w:tr w:rsidR="005919B7" w:rsidRPr="002949EA" w14:paraId="71CB987A"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1E5FEC8C" w14:textId="77777777" w:rsidR="005919B7" w:rsidRPr="00C3769D" w:rsidRDefault="005919B7" w:rsidP="00FD7A99">
            <w:pPr>
              <w:spacing w:before="40" w:after="40"/>
              <w:jc w:val="both"/>
              <w:rPr>
                <w:rFonts w:asciiTheme="minorHAnsi" w:eastAsia="Calibri" w:hAnsiTheme="minorHAnsi" w:cstheme="minorHAnsi"/>
                <w:color w:val="000000"/>
              </w:rPr>
            </w:pPr>
            <w:r w:rsidRPr="00C3769D">
              <w:rPr>
                <w:rFonts w:asciiTheme="minorHAnsi" w:eastAsia="Calibri" w:hAnsiTheme="minorHAnsi" w:cstheme="minorHAnsi"/>
                <w:color w:val="000000"/>
              </w:rPr>
              <w:t>[D] PV of Towns Fund-only costs (£000)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61028562"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8C3E83A"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£15,640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4EB0DAED" w14:textId="77777777" w:rsidR="005919B7" w:rsidRPr="002949EA" w:rsidRDefault="005919B7" w:rsidP="00FD7A99">
            <w:pPr>
              <w:spacing w:before="40" w:after="40"/>
              <w:jc w:val="center"/>
              <w:rPr>
                <w:rFonts w:asciiTheme="minorHAnsi" w:eastAsia="Calibri" w:hAnsiTheme="minorHAnsi" w:cstheme="minorHAnsi"/>
                <w:color w:val="000000"/>
              </w:rPr>
            </w:pPr>
            <w:r>
              <w:rPr>
                <w:rFonts w:asciiTheme="minorHAnsi" w:eastAsia="Calibri" w:hAnsiTheme="minorHAnsi" w:cstheme="minorHAnsi"/>
                <w:color w:val="000000"/>
              </w:rPr>
              <w:t>£26,066</w:t>
            </w:r>
          </w:p>
        </w:tc>
      </w:tr>
      <w:tr w:rsidR="005919B7" w:rsidRPr="002949EA" w14:paraId="372E419A"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2AA56D1E" w14:textId="77777777" w:rsidR="005919B7" w:rsidRPr="00C3769D" w:rsidRDefault="005919B7" w:rsidP="00FD7A99">
            <w:pPr>
              <w:spacing w:before="40" w:after="40"/>
              <w:jc w:val="both"/>
              <w:rPr>
                <w:rFonts w:asciiTheme="minorHAnsi" w:eastAsia="Calibri" w:hAnsiTheme="minorHAnsi" w:cstheme="minorHAnsi"/>
                <w:color w:val="000000"/>
                <w:vertAlign w:val="superscript"/>
              </w:rPr>
            </w:pPr>
            <w:r w:rsidRPr="00C3769D">
              <w:rPr>
                <w:rFonts w:asciiTheme="minorHAnsi" w:eastAsia="Calibri" w:hAnsiTheme="minorHAnsi" w:cstheme="minorHAnsi"/>
                <w:color w:val="000000"/>
              </w:rPr>
              <w:t>[E] PV of project costs (£000)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2757E7D9"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72664266"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£15,640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580E49B3" w14:textId="77777777" w:rsidR="005919B7" w:rsidRPr="002949EA" w:rsidRDefault="005919B7" w:rsidP="00FD7A99">
            <w:pPr>
              <w:spacing w:before="40" w:after="40"/>
              <w:jc w:val="center"/>
              <w:rPr>
                <w:rFonts w:asciiTheme="minorHAnsi" w:eastAsia="Calibri" w:hAnsiTheme="minorHAnsi" w:cstheme="minorHAnsi"/>
                <w:color w:val="000000"/>
              </w:rPr>
            </w:pPr>
            <w:r>
              <w:rPr>
                <w:rFonts w:asciiTheme="minorHAnsi" w:eastAsia="Calibri" w:hAnsiTheme="minorHAnsi" w:cstheme="minorHAnsi"/>
                <w:color w:val="000000"/>
              </w:rPr>
              <w:t>£28,376</w:t>
            </w:r>
          </w:p>
        </w:tc>
      </w:tr>
      <w:tr w:rsidR="005919B7" w:rsidRPr="002949EA" w14:paraId="068609E2"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0497882A" w14:textId="77777777" w:rsidR="005919B7" w:rsidRPr="00C3769D" w:rsidRDefault="005919B7" w:rsidP="00FD7A99">
            <w:pPr>
              <w:spacing w:before="40" w:after="40"/>
              <w:jc w:val="both"/>
              <w:rPr>
                <w:rFonts w:asciiTheme="minorHAnsi" w:eastAsia="Calibri" w:hAnsiTheme="minorHAnsi" w:cstheme="minorHAnsi"/>
                <w:color w:val="000000"/>
              </w:rPr>
            </w:pPr>
            <w:r w:rsidRPr="00C3769D">
              <w:rPr>
                <w:rFonts w:asciiTheme="minorHAnsi" w:eastAsia="Calibri" w:hAnsiTheme="minorHAnsi" w:cstheme="minorHAnsi"/>
                <w:color w:val="000000"/>
              </w:rPr>
              <w:t>NPSV (£000) [A-C]</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444F7738"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79D6F85"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£8,826</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2DCC026E" w14:textId="77777777" w:rsidR="005919B7" w:rsidRPr="002949EA" w:rsidRDefault="005919B7" w:rsidP="00FD7A99">
            <w:pPr>
              <w:spacing w:before="40" w:after="40"/>
              <w:jc w:val="center"/>
              <w:rPr>
                <w:rFonts w:asciiTheme="minorHAnsi" w:eastAsia="Calibri" w:hAnsiTheme="minorHAnsi" w:cstheme="minorHAnsi"/>
                <w:color w:val="000000"/>
              </w:rPr>
            </w:pPr>
            <w:r>
              <w:rPr>
                <w:rFonts w:asciiTheme="minorHAnsi" w:hAnsiTheme="minorHAnsi" w:cstheme="minorHAnsi"/>
              </w:rPr>
              <w:t>£</w:t>
            </w:r>
            <w:r w:rsidRPr="002949EA">
              <w:rPr>
                <w:rFonts w:asciiTheme="minorHAnsi" w:hAnsiTheme="minorHAnsi" w:cstheme="minorHAnsi"/>
              </w:rPr>
              <w:t>57,674</w:t>
            </w:r>
          </w:p>
        </w:tc>
      </w:tr>
      <w:tr w:rsidR="005919B7" w:rsidRPr="002949EA" w14:paraId="4DDA7C2E"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5F35E75C" w14:textId="77777777" w:rsidR="005919B7" w:rsidRPr="00C3769D" w:rsidRDefault="005919B7" w:rsidP="00FD7A99">
            <w:pPr>
              <w:spacing w:before="40" w:after="40"/>
              <w:jc w:val="both"/>
              <w:rPr>
                <w:rFonts w:asciiTheme="minorHAnsi" w:eastAsia="Calibri" w:hAnsiTheme="minorHAnsi" w:cstheme="minorHAnsi"/>
                <w:color w:val="000000"/>
              </w:rPr>
            </w:pPr>
            <w:r w:rsidRPr="00C3769D">
              <w:rPr>
                <w:rFonts w:asciiTheme="minorHAnsi" w:eastAsia="Calibri" w:hAnsiTheme="minorHAnsi" w:cstheme="minorHAnsi"/>
                <w:color w:val="000000"/>
              </w:rPr>
              <w:t>Initial BCR (xx:1) [A/C]</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1F9A078"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508DF296"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1.</w:t>
            </w:r>
            <w:r>
              <w:rPr>
                <w:rFonts w:asciiTheme="minorHAnsi" w:hAnsiTheme="minorHAnsi" w:cstheme="minorHAnsi"/>
              </w:rPr>
              <w:t>6</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70A039E8"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3.</w:t>
            </w:r>
            <w:r>
              <w:rPr>
                <w:rFonts w:asciiTheme="minorHAnsi" w:hAnsiTheme="minorHAnsi" w:cstheme="minorHAnsi"/>
              </w:rPr>
              <w:t>0</w:t>
            </w:r>
          </w:p>
        </w:tc>
      </w:tr>
      <w:tr w:rsidR="005919B7" w:rsidRPr="002949EA" w14:paraId="251FBCCE"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51DAD723" w14:textId="77777777" w:rsidR="005919B7" w:rsidRPr="00C3769D" w:rsidRDefault="005919B7" w:rsidP="00FD7A99">
            <w:pPr>
              <w:spacing w:before="40" w:after="40"/>
              <w:jc w:val="both"/>
              <w:rPr>
                <w:rFonts w:asciiTheme="minorHAnsi" w:eastAsia="Calibri" w:hAnsiTheme="minorHAnsi" w:cstheme="minorHAnsi"/>
                <w:color w:val="000000"/>
              </w:rPr>
            </w:pPr>
            <w:r w:rsidRPr="00C3769D">
              <w:rPr>
                <w:rFonts w:asciiTheme="minorHAnsi" w:eastAsia="Calibri" w:hAnsiTheme="minorHAnsi" w:cstheme="minorHAnsi"/>
                <w:color w:val="000000"/>
              </w:rPr>
              <w:t>Adjusted BCR (xx:1) [A+B/C]</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537C3F2B"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60902C36"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2.</w:t>
            </w:r>
            <w:r>
              <w:rPr>
                <w:rFonts w:asciiTheme="minorHAnsi" w:hAnsiTheme="minorHAnsi" w:cstheme="minorHAnsi"/>
              </w:rPr>
              <w:t>4</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15FCFA6C"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hAnsiTheme="minorHAnsi" w:cstheme="minorHAnsi"/>
              </w:rPr>
              <w:t>4.7</w:t>
            </w:r>
          </w:p>
        </w:tc>
      </w:tr>
      <w:tr w:rsidR="005919B7" w:rsidRPr="002949EA" w14:paraId="19442365" w14:textId="77777777" w:rsidTr="001032F0">
        <w:tc>
          <w:tcPr>
            <w:tcW w:w="2183" w:type="pct"/>
            <w:tcBorders>
              <w:top w:val="single" w:sz="4" w:space="0" w:color="auto"/>
              <w:left w:val="single" w:sz="4" w:space="0" w:color="auto"/>
              <w:bottom w:val="single" w:sz="4" w:space="0" w:color="auto"/>
              <w:right w:val="single" w:sz="4" w:space="0" w:color="auto"/>
            </w:tcBorders>
            <w:shd w:val="clear" w:color="auto" w:fill="D9D9D9"/>
            <w:hideMark/>
          </w:tcPr>
          <w:p w14:paraId="4D9AEDD2" w14:textId="77777777" w:rsidR="005919B7" w:rsidRPr="00C3769D" w:rsidRDefault="005919B7" w:rsidP="00FD7A99">
            <w:pPr>
              <w:spacing w:before="40" w:after="40"/>
              <w:jc w:val="both"/>
              <w:rPr>
                <w:rFonts w:asciiTheme="minorHAnsi" w:eastAsia="Calibri" w:hAnsiTheme="minorHAnsi" w:cstheme="minorHAnsi"/>
                <w:color w:val="000000"/>
              </w:rPr>
            </w:pPr>
            <w:r w:rsidRPr="00C3769D">
              <w:rPr>
                <w:rFonts w:asciiTheme="minorHAnsi" w:eastAsia="Calibri" w:hAnsiTheme="minorHAnsi" w:cstheme="minorHAnsi"/>
                <w:color w:val="000000"/>
              </w:rPr>
              <w:t>Total project cost BCR [A/E]</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4BA279F7" w14:textId="77777777" w:rsidR="005919B7" w:rsidRPr="002949EA" w:rsidRDefault="005919B7" w:rsidP="00FD7A99">
            <w:pPr>
              <w:spacing w:before="40" w:after="40"/>
              <w:jc w:val="center"/>
              <w:rPr>
                <w:rFonts w:asciiTheme="minorHAnsi" w:eastAsia="Calibri" w:hAnsiTheme="minorHAnsi" w:cstheme="minorHAnsi"/>
                <w:color w:val="000000"/>
              </w:rPr>
            </w:pPr>
            <w:r w:rsidRPr="002949EA">
              <w:rPr>
                <w:rFonts w:asciiTheme="minorHAnsi" w:eastAsia="Calibri" w:hAnsiTheme="minorHAnsi" w:cstheme="minorHAnsi"/>
                <w:color w:val="000000"/>
              </w:rPr>
              <w:t>0</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332DC90E" w14:textId="77777777" w:rsidR="005919B7" w:rsidRPr="002949EA" w:rsidRDefault="005919B7" w:rsidP="00FD7A99">
            <w:pPr>
              <w:spacing w:before="40" w:after="40"/>
              <w:jc w:val="center"/>
              <w:rPr>
                <w:rFonts w:asciiTheme="minorHAnsi" w:eastAsia="Calibri" w:hAnsiTheme="minorHAnsi" w:cstheme="minorHAnsi"/>
                <w:color w:val="000000"/>
              </w:rPr>
            </w:pPr>
            <w:r>
              <w:rPr>
                <w:rFonts w:asciiTheme="minorHAnsi" w:eastAsia="Calibri" w:hAnsiTheme="minorHAnsi" w:cstheme="minorHAnsi"/>
                <w:color w:val="000000"/>
              </w:rPr>
              <w:t>1.6</w:t>
            </w:r>
          </w:p>
        </w:tc>
        <w:tc>
          <w:tcPr>
            <w:tcW w:w="939" w:type="pct"/>
            <w:tcBorders>
              <w:top w:val="single" w:sz="4" w:space="0" w:color="auto"/>
              <w:left w:val="single" w:sz="4" w:space="0" w:color="auto"/>
              <w:bottom w:val="single" w:sz="4" w:space="0" w:color="auto"/>
              <w:right w:val="single" w:sz="4" w:space="0" w:color="auto"/>
            </w:tcBorders>
            <w:shd w:val="clear" w:color="auto" w:fill="D9D9D9"/>
          </w:tcPr>
          <w:p w14:paraId="7E86ED22" w14:textId="77777777" w:rsidR="005919B7" w:rsidRPr="002949EA" w:rsidRDefault="005919B7" w:rsidP="00FD7A99">
            <w:pPr>
              <w:spacing w:before="40" w:after="40"/>
              <w:jc w:val="center"/>
              <w:rPr>
                <w:rFonts w:asciiTheme="minorHAnsi" w:eastAsia="Calibri" w:hAnsiTheme="minorHAnsi" w:cstheme="minorHAnsi"/>
                <w:color w:val="000000"/>
              </w:rPr>
            </w:pPr>
            <w:r>
              <w:rPr>
                <w:rFonts w:asciiTheme="minorHAnsi" w:eastAsia="Calibri" w:hAnsiTheme="minorHAnsi" w:cstheme="minorHAnsi"/>
                <w:color w:val="000000"/>
              </w:rPr>
              <w:t>3.0</w:t>
            </w:r>
          </w:p>
        </w:tc>
      </w:tr>
    </w:tbl>
    <w:p w14:paraId="660E9ED9" w14:textId="77777777" w:rsidR="005919B7" w:rsidRPr="00420F57" w:rsidRDefault="005919B7" w:rsidP="005919B7">
      <w:pPr>
        <w:jc w:val="both"/>
        <w:rPr>
          <w:rFonts w:asciiTheme="minorHAnsi" w:hAnsiTheme="minorHAnsi" w:cstheme="minorHAnsi"/>
          <w:color w:val="0070C0"/>
        </w:rPr>
      </w:pPr>
    </w:p>
    <w:p w14:paraId="59F0DDC5" w14:textId="77777777" w:rsidR="005919B7" w:rsidRPr="00420F57" w:rsidRDefault="005919B7" w:rsidP="005919B7">
      <w:pPr>
        <w:pStyle w:val="Heading2"/>
        <w:jc w:val="both"/>
        <w:rPr>
          <w:rStyle w:val="ClientTitle"/>
          <w:rFonts w:asciiTheme="minorHAnsi" w:hAnsiTheme="minorHAnsi" w:cstheme="minorHAnsi"/>
          <w:color w:val="0070C0"/>
        </w:rPr>
      </w:pPr>
      <w:r w:rsidRPr="00420F57">
        <w:rPr>
          <w:rStyle w:val="ClientTitle"/>
          <w:rFonts w:asciiTheme="minorHAnsi" w:hAnsiTheme="minorHAnsi" w:cstheme="minorHAnsi"/>
          <w:color w:val="0070C0"/>
        </w:rPr>
        <w:t xml:space="preserve">Financial Case Summary    </w:t>
      </w:r>
    </w:p>
    <w:p w14:paraId="0878C0D6" w14:textId="77777777" w:rsidR="005919B7" w:rsidRPr="00420F57" w:rsidRDefault="005919B7" w:rsidP="005919B7">
      <w:pPr>
        <w:jc w:val="both"/>
        <w:rPr>
          <w:rFonts w:asciiTheme="minorHAnsi" w:hAnsiTheme="minorHAnsi" w:cstheme="minorHAnsi"/>
        </w:rPr>
      </w:pPr>
    </w:p>
    <w:p w14:paraId="1B8A854C" w14:textId="1D17DCD3" w:rsidR="005919B7" w:rsidRDefault="005919B7" w:rsidP="005919B7">
      <w:pPr>
        <w:spacing w:after="240"/>
        <w:jc w:val="both"/>
        <w:rPr>
          <w:rFonts w:asciiTheme="minorHAnsi" w:eastAsia="Calibri" w:hAnsiTheme="minorHAnsi" w:cstheme="minorHAnsi"/>
          <w:color w:val="auto"/>
          <w:lang w:val="en-US"/>
        </w:rPr>
      </w:pPr>
      <w:r>
        <w:rPr>
          <w:rFonts w:asciiTheme="minorHAnsi" w:eastAsia="Calibri" w:hAnsiTheme="minorHAnsi" w:cstheme="minorHAnsi"/>
          <w:color w:val="auto"/>
          <w:lang w:val="en-US"/>
        </w:rPr>
        <w:t xml:space="preserve">A headline summary of the </w:t>
      </w:r>
      <w:r w:rsidRPr="00420F57">
        <w:rPr>
          <w:rFonts w:asciiTheme="minorHAnsi" w:eastAsia="Calibri" w:hAnsiTheme="minorHAnsi" w:cstheme="minorHAnsi"/>
          <w:color w:val="auto"/>
          <w:lang w:val="en-US"/>
        </w:rPr>
        <w:t xml:space="preserve">costs </w:t>
      </w:r>
      <w:r>
        <w:rPr>
          <w:rFonts w:asciiTheme="minorHAnsi" w:eastAsia="Calibri" w:hAnsiTheme="minorHAnsi" w:cstheme="minorHAnsi"/>
          <w:color w:val="auto"/>
          <w:lang w:val="en-US"/>
        </w:rPr>
        <w:t>for the construction of the new University Centre ‘Health Innovation Dudley’ are o</w:t>
      </w:r>
      <w:r w:rsidRPr="00420F57">
        <w:rPr>
          <w:rFonts w:asciiTheme="minorHAnsi" w:eastAsia="Calibri" w:hAnsiTheme="minorHAnsi" w:cstheme="minorHAnsi"/>
          <w:color w:val="auto"/>
          <w:lang w:val="en-US"/>
        </w:rPr>
        <w:t>utlined in Table ES2.</w:t>
      </w:r>
      <w:r>
        <w:rPr>
          <w:rFonts w:asciiTheme="minorHAnsi" w:eastAsia="Calibri" w:hAnsiTheme="minorHAnsi" w:cstheme="minorHAnsi"/>
          <w:color w:val="auto"/>
          <w:lang w:val="en-US"/>
        </w:rPr>
        <w:t xml:space="preserve">  These costs have been prepared by the appointed design team, which includes </w:t>
      </w:r>
      <w:proofErr w:type="spellStart"/>
      <w:r>
        <w:rPr>
          <w:rFonts w:asciiTheme="minorHAnsi" w:eastAsia="Calibri" w:hAnsiTheme="minorHAnsi" w:cstheme="minorHAnsi"/>
          <w:color w:val="auto"/>
          <w:lang w:val="en-US"/>
        </w:rPr>
        <w:t>Launchpadd</w:t>
      </w:r>
      <w:proofErr w:type="spellEnd"/>
      <w:r>
        <w:rPr>
          <w:rFonts w:asciiTheme="minorHAnsi" w:eastAsia="Calibri" w:hAnsiTheme="minorHAnsi" w:cstheme="minorHAnsi"/>
          <w:color w:val="auto"/>
          <w:lang w:val="en-US"/>
        </w:rPr>
        <w:t xml:space="preserve"> Architects and RJK Consulting who are providing quantity surveying and cost consultancy services.  The costs have been subject to robust cost comparisons with industry benchmarks and the construction of similar/best practice projects. A more detailed cashflow for the project has been appended to the business case.</w:t>
      </w:r>
    </w:p>
    <w:p w14:paraId="377F5B5A" w14:textId="2BE062BA" w:rsidR="0080594B" w:rsidRDefault="0080594B" w:rsidP="005919B7">
      <w:pPr>
        <w:spacing w:after="240"/>
        <w:jc w:val="both"/>
        <w:rPr>
          <w:rFonts w:asciiTheme="minorHAnsi" w:eastAsia="Calibri" w:hAnsiTheme="minorHAnsi" w:cstheme="minorHAnsi"/>
          <w:color w:val="auto"/>
          <w:lang w:val="en-US"/>
        </w:rPr>
      </w:pPr>
    </w:p>
    <w:p w14:paraId="5A383F41" w14:textId="3ADF779B" w:rsidR="0080594B" w:rsidRDefault="0080594B" w:rsidP="005919B7">
      <w:pPr>
        <w:spacing w:after="240"/>
        <w:jc w:val="both"/>
        <w:rPr>
          <w:rFonts w:asciiTheme="minorHAnsi" w:eastAsia="Calibri" w:hAnsiTheme="minorHAnsi" w:cstheme="minorHAnsi"/>
          <w:color w:val="auto"/>
          <w:lang w:val="en-US"/>
        </w:rPr>
      </w:pPr>
    </w:p>
    <w:p w14:paraId="29FC4ABB" w14:textId="77777777" w:rsidR="0080594B" w:rsidRDefault="0080594B" w:rsidP="005919B7">
      <w:pPr>
        <w:spacing w:after="240"/>
        <w:jc w:val="both"/>
        <w:rPr>
          <w:rFonts w:asciiTheme="minorHAnsi" w:eastAsia="Calibri" w:hAnsiTheme="minorHAnsi" w:cstheme="minorHAnsi"/>
          <w:color w:val="auto"/>
          <w:lang w:val="en-US"/>
        </w:rPr>
      </w:pPr>
    </w:p>
    <w:p w14:paraId="2C2866E3" w14:textId="77777777" w:rsidR="005919B7" w:rsidRDefault="005919B7" w:rsidP="005919B7">
      <w:pPr>
        <w:spacing w:after="240"/>
        <w:jc w:val="both"/>
        <w:rPr>
          <w:rFonts w:asciiTheme="minorHAnsi" w:eastAsia="Calibri" w:hAnsiTheme="minorHAnsi" w:cstheme="minorHAnsi"/>
          <w:b/>
          <w:bCs/>
          <w:color w:val="auto"/>
          <w:lang w:val="en-US"/>
        </w:rPr>
      </w:pPr>
      <w:r w:rsidRPr="00420F57">
        <w:rPr>
          <w:rFonts w:asciiTheme="minorHAnsi" w:eastAsia="Calibri" w:hAnsiTheme="minorHAnsi" w:cstheme="minorHAnsi"/>
          <w:b/>
          <w:bCs/>
          <w:color w:val="auto"/>
          <w:lang w:val="en-US"/>
        </w:rPr>
        <w:lastRenderedPageBreak/>
        <w:t>ES Table 2: Summary Town Deal Specific Spend Allocation</w:t>
      </w:r>
    </w:p>
    <w:tbl>
      <w:tblPr>
        <w:tblStyle w:val="TableGrid"/>
        <w:tblW w:w="9139" w:type="dxa"/>
        <w:shd w:val="clear" w:color="auto" w:fill="D9D9D9" w:themeFill="background1" w:themeFillShade="D9"/>
        <w:tblLook w:val="04A0" w:firstRow="1" w:lastRow="0" w:firstColumn="1" w:lastColumn="0" w:noHBand="0" w:noVBand="1"/>
      </w:tblPr>
      <w:tblGrid>
        <w:gridCol w:w="2395"/>
        <w:gridCol w:w="1124"/>
        <w:gridCol w:w="1124"/>
        <w:gridCol w:w="1124"/>
        <w:gridCol w:w="1124"/>
        <w:gridCol w:w="1124"/>
        <w:gridCol w:w="1124"/>
      </w:tblGrid>
      <w:tr w:rsidR="005919B7" w14:paraId="0869E5E6" w14:textId="77777777" w:rsidTr="00AB6BD6">
        <w:trPr>
          <w:tblHeader/>
        </w:trPr>
        <w:tc>
          <w:tcPr>
            <w:tcW w:w="9139" w:type="dxa"/>
            <w:gridSpan w:val="7"/>
            <w:tcBorders>
              <w:top w:val="double" w:sz="4" w:space="0" w:color="auto"/>
              <w:left w:val="double" w:sz="4" w:space="0" w:color="auto"/>
              <w:bottom w:val="single" w:sz="6" w:space="0" w:color="auto"/>
              <w:right w:val="double" w:sz="4" w:space="0" w:color="auto"/>
            </w:tcBorders>
            <w:shd w:val="clear" w:color="auto" w:fill="D9D9D9" w:themeFill="background1" w:themeFillShade="D9"/>
            <w:vAlign w:val="center"/>
          </w:tcPr>
          <w:p w14:paraId="24FFE7BC" w14:textId="77777777" w:rsidR="005919B7" w:rsidRPr="00055B21" w:rsidRDefault="005919B7" w:rsidP="001032F0">
            <w:pPr>
              <w:rPr>
                <w:rFonts w:asciiTheme="minorHAnsi" w:hAnsiTheme="minorHAnsi" w:cstheme="minorHAnsi"/>
                <w:b/>
                <w:bCs/>
              </w:rPr>
            </w:pPr>
            <w:r w:rsidRPr="00055B21">
              <w:rPr>
                <w:rFonts w:asciiTheme="minorHAnsi" w:hAnsiTheme="minorHAnsi" w:cstheme="minorHAnsi"/>
                <w:b/>
                <w:bCs/>
              </w:rPr>
              <w:t>Summary costs (£</w:t>
            </w:r>
            <w:r>
              <w:rPr>
                <w:rFonts w:asciiTheme="minorHAnsi" w:hAnsiTheme="minorHAnsi" w:cstheme="minorHAnsi"/>
                <w:b/>
                <w:bCs/>
              </w:rPr>
              <w:t>000</w:t>
            </w:r>
            <w:r w:rsidRPr="00055B21">
              <w:rPr>
                <w:rFonts w:asciiTheme="minorHAnsi" w:hAnsiTheme="minorHAnsi" w:cstheme="minorHAnsi"/>
                <w:b/>
                <w:bCs/>
              </w:rPr>
              <w:t>)</w:t>
            </w:r>
          </w:p>
        </w:tc>
      </w:tr>
      <w:tr w:rsidR="00AB6BD6" w14:paraId="67DD4DC2" w14:textId="77777777" w:rsidTr="00AB6BD6">
        <w:trPr>
          <w:tblHeader/>
        </w:trPr>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61A570C9" w14:textId="77777777" w:rsidR="005919B7" w:rsidRPr="00055B21" w:rsidRDefault="005919B7" w:rsidP="001032F0">
            <w:pPr>
              <w:rPr>
                <w:rFonts w:asciiTheme="minorHAnsi" w:hAnsiTheme="minorHAnsi" w:cstheme="minorHAnsi"/>
              </w:rPr>
            </w:pP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E4ACC2"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2021/22</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C44ADF"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2022/23</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790FEC"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2023/24</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64B271"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2024/25</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1E6D7F"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2025/26</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6D5B6FCF" w14:textId="77777777" w:rsidR="005919B7" w:rsidRPr="00097697" w:rsidRDefault="005919B7" w:rsidP="001032F0">
            <w:pPr>
              <w:jc w:val="center"/>
              <w:rPr>
                <w:rFonts w:asciiTheme="minorHAnsi" w:hAnsiTheme="minorHAnsi" w:cstheme="minorHAnsi"/>
                <w:b/>
                <w:bCs/>
              </w:rPr>
            </w:pPr>
            <w:r w:rsidRPr="00097697">
              <w:rPr>
                <w:rFonts w:asciiTheme="minorHAnsi" w:hAnsiTheme="minorHAnsi" w:cstheme="minorHAnsi"/>
                <w:b/>
                <w:bCs/>
              </w:rPr>
              <w:t>Total</w:t>
            </w:r>
          </w:p>
        </w:tc>
      </w:tr>
      <w:tr w:rsidR="005919B7" w14:paraId="19B02425" w14:textId="77777777" w:rsidTr="00AB6BD6">
        <w:tc>
          <w:tcPr>
            <w:tcW w:w="9139" w:type="dxa"/>
            <w:gridSpan w:val="7"/>
            <w:tcBorders>
              <w:top w:val="single" w:sz="6" w:space="0" w:color="auto"/>
              <w:left w:val="double" w:sz="4" w:space="0" w:color="auto"/>
              <w:bottom w:val="single" w:sz="6" w:space="0" w:color="auto"/>
              <w:right w:val="double" w:sz="4" w:space="0" w:color="auto"/>
            </w:tcBorders>
            <w:shd w:val="clear" w:color="auto" w:fill="D9D9D9" w:themeFill="background1" w:themeFillShade="D9"/>
            <w:vAlign w:val="center"/>
          </w:tcPr>
          <w:p w14:paraId="2FFD0B88" w14:textId="77777777" w:rsidR="005919B7" w:rsidRPr="00055B21" w:rsidRDefault="005919B7" w:rsidP="001032F0">
            <w:pPr>
              <w:rPr>
                <w:rFonts w:asciiTheme="minorHAnsi" w:hAnsiTheme="minorHAnsi" w:cstheme="minorHAnsi"/>
              </w:rPr>
            </w:pPr>
            <w:r>
              <w:rPr>
                <w:rFonts w:asciiTheme="minorHAnsi" w:hAnsiTheme="minorHAnsi" w:cstheme="minorHAnsi"/>
                <w:b/>
                <w:bCs/>
              </w:rPr>
              <w:t>Capital costs</w:t>
            </w:r>
          </w:p>
        </w:tc>
      </w:tr>
      <w:tr w:rsidR="00AB6BD6" w14:paraId="14DEBFC4" w14:textId="77777777" w:rsidTr="00AB6BD6">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15675AB6" w14:textId="77777777" w:rsidR="005919B7" w:rsidRPr="00055B21" w:rsidRDefault="005919B7" w:rsidP="001032F0">
            <w:pPr>
              <w:rPr>
                <w:rFonts w:asciiTheme="minorHAnsi" w:hAnsiTheme="minorHAnsi" w:cstheme="minorHAnsi"/>
              </w:rPr>
            </w:pPr>
            <w:r>
              <w:rPr>
                <w:rFonts w:asciiTheme="minorHAnsi" w:hAnsiTheme="minorHAnsi" w:cstheme="minorHAnsi"/>
              </w:rPr>
              <w:t xml:space="preserve">Building works and </w:t>
            </w:r>
            <w:proofErr w:type="spellStart"/>
            <w:r>
              <w:rPr>
                <w:rFonts w:asciiTheme="minorHAnsi" w:hAnsiTheme="minorHAnsi" w:cstheme="minorHAnsi"/>
              </w:rPr>
              <w:t>abnormals</w:t>
            </w:r>
            <w:proofErr w:type="spellEnd"/>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0FC598"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1C2B04" w14:textId="51D97AF1" w:rsidR="005919B7" w:rsidRPr="00055B21" w:rsidRDefault="005919B7" w:rsidP="001032F0">
            <w:pPr>
              <w:jc w:val="center"/>
              <w:rPr>
                <w:rFonts w:asciiTheme="minorHAnsi" w:hAnsiTheme="minorHAnsi" w:cstheme="minorHAnsi"/>
              </w:rPr>
            </w:pPr>
            <w:r>
              <w:rPr>
                <w:rFonts w:asciiTheme="minorHAnsi" w:hAnsiTheme="minorHAnsi" w:cstheme="minorHAnsi"/>
              </w:rPr>
              <w:t>2,7</w:t>
            </w:r>
            <w:r w:rsidR="004D4ADE">
              <w:rPr>
                <w:rFonts w:asciiTheme="minorHAnsi" w:hAnsiTheme="minorHAnsi" w:cstheme="minorHAnsi"/>
              </w:rPr>
              <w:t>4</w:t>
            </w:r>
            <w:r>
              <w:rPr>
                <w:rFonts w:asciiTheme="minorHAnsi" w:hAnsiTheme="minorHAnsi" w:cstheme="minorHAnsi"/>
              </w:rPr>
              <w:t>7</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AB0747"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10,983</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430BEE"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7,378</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2D7AD4"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546</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0ECE2143" w14:textId="0820BE69" w:rsidR="005919B7" w:rsidRPr="00055B21" w:rsidRDefault="005919B7" w:rsidP="001032F0">
            <w:pPr>
              <w:jc w:val="center"/>
              <w:rPr>
                <w:rFonts w:asciiTheme="minorHAnsi" w:hAnsiTheme="minorHAnsi" w:cstheme="minorHAnsi"/>
              </w:rPr>
            </w:pPr>
            <w:r>
              <w:rPr>
                <w:rFonts w:asciiTheme="minorHAnsi" w:hAnsiTheme="minorHAnsi" w:cstheme="minorHAnsi"/>
              </w:rPr>
              <w:t>21,6</w:t>
            </w:r>
            <w:r w:rsidR="004D4ADE">
              <w:rPr>
                <w:rFonts w:asciiTheme="minorHAnsi" w:hAnsiTheme="minorHAnsi" w:cstheme="minorHAnsi"/>
              </w:rPr>
              <w:t>6</w:t>
            </w:r>
            <w:r>
              <w:rPr>
                <w:rFonts w:asciiTheme="minorHAnsi" w:hAnsiTheme="minorHAnsi" w:cstheme="minorHAnsi"/>
              </w:rPr>
              <w:t>5</w:t>
            </w:r>
          </w:p>
        </w:tc>
      </w:tr>
      <w:tr w:rsidR="00AB6BD6" w14:paraId="055DB866" w14:textId="77777777" w:rsidTr="00AB6BD6">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406F6D10" w14:textId="77777777" w:rsidR="005919B7" w:rsidRPr="00055B21" w:rsidRDefault="005919B7" w:rsidP="001032F0">
            <w:pPr>
              <w:rPr>
                <w:rFonts w:asciiTheme="minorHAnsi" w:hAnsiTheme="minorHAnsi" w:cstheme="minorHAnsi"/>
              </w:rPr>
            </w:pPr>
            <w:r>
              <w:rPr>
                <w:rFonts w:asciiTheme="minorHAnsi" w:hAnsiTheme="minorHAnsi" w:cstheme="minorHAnsi"/>
              </w:rPr>
              <w:t>Break out floor slabs</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B7D4C2"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069D710"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200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6C70AE"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62BA451"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4BA0DB"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0766948E"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200</w:t>
            </w:r>
          </w:p>
        </w:tc>
      </w:tr>
      <w:tr w:rsidR="00AB6BD6" w14:paraId="6D372582" w14:textId="77777777" w:rsidTr="00AB6BD6">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7777DCFC" w14:textId="77777777" w:rsidR="005919B7" w:rsidRPr="00055B21" w:rsidRDefault="005919B7" w:rsidP="001032F0">
            <w:pPr>
              <w:rPr>
                <w:rFonts w:asciiTheme="minorHAnsi" w:hAnsiTheme="minorHAnsi" w:cstheme="minorHAnsi"/>
              </w:rPr>
            </w:pPr>
            <w:r w:rsidRPr="00B246A4">
              <w:rPr>
                <w:rFonts w:asciiTheme="minorHAnsi" w:hAnsiTheme="minorHAnsi" w:cstheme="minorHAnsi"/>
              </w:rPr>
              <w:t>Land Assembly</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65AC7B"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96C412"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1,600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ECDB20"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E9F4CBE"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4FE114"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637A7DC0"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1,600</w:t>
            </w:r>
          </w:p>
        </w:tc>
      </w:tr>
      <w:tr w:rsidR="00AB6BD6" w14:paraId="4524BE26" w14:textId="77777777" w:rsidTr="00AB6BD6">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77A6E89B" w14:textId="77777777" w:rsidR="005919B7" w:rsidRPr="00055B21" w:rsidRDefault="005919B7" w:rsidP="001032F0">
            <w:pPr>
              <w:rPr>
                <w:rFonts w:asciiTheme="minorHAnsi" w:hAnsiTheme="minorHAnsi" w:cstheme="minorHAnsi"/>
              </w:rPr>
            </w:pPr>
            <w:r w:rsidRPr="00B246A4">
              <w:rPr>
                <w:rFonts w:asciiTheme="minorHAnsi" w:hAnsiTheme="minorHAnsi" w:cstheme="minorHAnsi"/>
              </w:rPr>
              <w:t>Demolition and Asbestos Removal</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36703A"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7C4CE5"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1,500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9EAF46"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250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B71893"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369AE3"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79E0EE59"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1,750</w:t>
            </w:r>
          </w:p>
        </w:tc>
      </w:tr>
      <w:tr w:rsidR="00AB6BD6" w14:paraId="2ECD1211" w14:textId="77777777" w:rsidTr="00AB6BD6">
        <w:tc>
          <w:tcPr>
            <w:tcW w:w="2395" w:type="dxa"/>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2D9F8E59" w14:textId="77777777" w:rsidR="005919B7" w:rsidRPr="00055B21" w:rsidRDefault="005919B7" w:rsidP="001032F0">
            <w:pPr>
              <w:rPr>
                <w:rFonts w:asciiTheme="minorHAnsi" w:hAnsiTheme="minorHAnsi" w:cstheme="minorHAnsi"/>
              </w:rPr>
            </w:pPr>
            <w:r w:rsidRPr="00B246A4">
              <w:rPr>
                <w:rFonts w:asciiTheme="minorHAnsi" w:hAnsiTheme="minorHAnsi" w:cstheme="minorHAnsi"/>
              </w:rPr>
              <w:t>Connectivity Works</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24BE4D"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A5853C"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F532E7"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1,250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AE952B"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750</w:t>
            </w:r>
          </w:p>
        </w:tc>
        <w:tc>
          <w:tcPr>
            <w:tcW w:w="1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9D76E0"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w:t>
            </w:r>
          </w:p>
        </w:tc>
        <w:tc>
          <w:tcPr>
            <w:tcW w:w="1124"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45E64AB6" w14:textId="77777777" w:rsidR="005919B7" w:rsidRPr="00055B21" w:rsidRDefault="005919B7" w:rsidP="001032F0">
            <w:pPr>
              <w:jc w:val="center"/>
              <w:rPr>
                <w:rFonts w:asciiTheme="minorHAnsi" w:hAnsiTheme="minorHAnsi" w:cstheme="minorHAnsi"/>
              </w:rPr>
            </w:pPr>
            <w:r>
              <w:rPr>
                <w:rFonts w:asciiTheme="minorHAnsi" w:hAnsiTheme="minorHAnsi" w:cstheme="minorHAnsi"/>
              </w:rPr>
              <w:t>2,000</w:t>
            </w:r>
          </w:p>
        </w:tc>
      </w:tr>
      <w:tr w:rsidR="00AB6BD6" w:rsidRPr="00DB0FAF" w14:paraId="25D1B61E" w14:textId="77777777" w:rsidTr="00AB6BD6">
        <w:tc>
          <w:tcPr>
            <w:tcW w:w="2395" w:type="dxa"/>
            <w:tcBorders>
              <w:top w:val="single" w:sz="6" w:space="0" w:color="auto"/>
              <w:left w:val="double" w:sz="4" w:space="0" w:color="auto"/>
              <w:bottom w:val="double" w:sz="4" w:space="0" w:color="auto"/>
              <w:right w:val="single" w:sz="6" w:space="0" w:color="auto"/>
            </w:tcBorders>
            <w:shd w:val="clear" w:color="auto" w:fill="D9D9D9" w:themeFill="background1" w:themeFillShade="D9"/>
            <w:vAlign w:val="center"/>
          </w:tcPr>
          <w:p w14:paraId="0C3AE9E0" w14:textId="77777777" w:rsidR="005919B7" w:rsidRPr="00B246A4" w:rsidRDefault="005919B7" w:rsidP="001032F0">
            <w:pPr>
              <w:rPr>
                <w:rFonts w:asciiTheme="minorHAnsi" w:hAnsiTheme="minorHAnsi" w:cstheme="minorHAnsi"/>
                <w:b/>
                <w:bCs/>
              </w:rPr>
            </w:pPr>
            <w:r w:rsidRPr="00B246A4">
              <w:rPr>
                <w:rFonts w:asciiTheme="minorHAnsi" w:hAnsiTheme="minorHAnsi" w:cstheme="minorHAnsi"/>
                <w:b/>
                <w:bCs/>
              </w:rPr>
              <w:t>TOTAL</w:t>
            </w:r>
          </w:p>
        </w:tc>
        <w:tc>
          <w:tcPr>
            <w:tcW w:w="1124"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4B2AE5BB" w14:textId="77777777"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10</w:t>
            </w:r>
          </w:p>
        </w:tc>
        <w:tc>
          <w:tcPr>
            <w:tcW w:w="1124"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47BC08FB" w14:textId="1998F08C"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6,0</w:t>
            </w:r>
            <w:r w:rsidR="004D4ADE">
              <w:rPr>
                <w:rFonts w:asciiTheme="minorHAnsi" w:hAnsiTheme="minorHAnsi" w:cstheme="minorHAnsi"/>
                <w:b/>
                <w:bCs/>
              </w:rPr>
              <w:t>4</w:t>
            </w:r>
            <w:r w:rsidRPr="00021DAF">
              <w:rPr>
                <w:rFonts w:asciiTheme="minorHAnsi" w:hAnsiTheme="minorHAnsi" w:cstheme="minorHAnsi"/>
                <w:b/>
                <w:bCs/>
              </w:rPr>
              <w:t>7</w:t>
            </w:r>
          </w:p>
        </w:tc>
        <w:tc>
          <w:tcPr>
            <w:tcW w:w="1124"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13B15B0E" w14:textId="77777777"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12,484</w:t>
            </w:r>
          </w:p>
        </w:tc>
        <w:tc>
          <w:tcPr>
            <w:tcW w:w="1124"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15FEE1B5" w14:textId="77777777"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8,128</w:t>
            </w:r>
          </w:p>
        </w:tc>
        <w:tc>
          <w:tcPr>
            <w:tcW w:w="1124"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6E25AA61" w14:textId="77777777"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546</w:t>
            </w:r>
          </w:p>
        </w:tc>
        <w:tc>
          <w:tcPr>
            <w:tcW w:w="1124" w:type="dxa"/>
            <w:tcBorders>
              <w:top w:val="single" w:sz="6" w:space="0" w:color="auto"/>
              <w:left w:val="single" w:sz="6" w:space="0" w:color="auto"/>
              <w:bottom w:val="double" w:sz="4" w:space="0" w:color="auto"/>
              <w:right w:val="double" w:sz="4" w:space="0" w:color="auto"/>
            </w:tcBorders>
            <w:shd w:val="clear" w:color="auto" w:fill="D9D9D9" w:themeFill="background1" w:themeFillShade="D9"/>
            <w:vAlign w:val="center"/>
          </w:tcPr>
          <w:p w14:paraId="36062BF9" w14:textId="7C4A4DCD" w:rsidR="005919B7" w:rsidRPr="00021DAF" w:rsidRDefault="005919B7" w:rsidP="001032F0">
            <w:pPr>
              <w:jc w:val="center"/>
              <w:rPr>
                <w:rFonts w:asciiTheme="minorHAnsi" w:hAnsiTheme="minorHAnsi" w:cstheme="minorHAnsi"/>
                <w:b/>
                <w:bCs/>
              </w:rPr>
            </w:pPr>
            <w:r w:rsidRPr="00021DAF">
              <w:rPr>
                <w:rFonts w:asciiTheme="minorHAnsi" w:hAnsiTheme="minorHAnsi" w:cstheme="minorHAnsi"/>
                <w:b/>
                <w:bCs/>
              </w:rPr>
              <w:t>27,2</w:t>
            </w:r>
            <w:r w:rsidR="004D4ADE">
              <w:rPr>
                <w:rFonts w:asciiTheme="minorHAnsi" w:hAnsiTheme="minorHAnsi" w:cstheme="minorHAnsi"/>
                <w:b/>
                <w:bCs/>
              </w:rPr>
              <w:t>1</w:t>
            </w:r>
            <w:r w:rsidRPr="00021DAF">
              <w:rPr>
                <w:rFonts w:asciiTheme="minorHAnsi" w:hAnsiTheme="minorHAnsi" w:cstheme="minorHAnsi"/>
                <w:b/>
                <w:bCs/>
              </w:rPr>
              <w:t>5</w:t>
            </w:r>
          </w:p>
        </w:tc>
      </w:tr>
    </w:tbl>
    <w:p w14:paraId="79445B63" w14:textId="77777777" w:rsidR="005919B7" w:rsidRDefault="005919B7" w:rsidP="005919B7">
      <w:pPr>
        <w:jc w:val="both"/>
        <w:rPr>
          <w:rFonts w:asciiTheme="minorHAnsi" w:eastAsia="Calibri" w:hAnsiTheme="minorHAnsi" w:cstheme="minorHAnsi"/>
          <w:color w:val="auto"/>
          <w:lang w:val="en-US"/>
        </w:rPr>
      </w:pPr>
    </w:p>
    <w:p w14:paraId="4E72D189" w14:textId="77777777" w:rsidR="005919B7" w:rsidRDefault="005919B7" w:rsidP="005919B7">
      <w:pPr>
        <w:jc w:val="both"/>
        <w:rPr>
          <w:rFonts w:asciiTheme="minorHAnsi" w:eastAsia="Calibri" w:hAnsiTheme="minorHAnsi" w:cstheme="minorHAnsi"/>
          <w:color w:val="auto"/>
          <w:lang w:val="en-US"/>
        </w:rPr>
      </w:pPr>
      <w:r w:rsidRPr="005F54EB">
        <w:rPr>
          <w:rFonts w:asciiTheme="minorHAnsi" w:eastAsia="Calibri" w:hAnsiTheme="minorHAnsi" w:cstheme="minorHAnsi"/>
          <w:color w:val="auto"/>
          <w:lang w:val="en-US"/>
        </w:rPr>
        <w:t xml:space="preserve">The costs of the new build will be met primarily from Towns Funding as shown in Table ES3 below.  An application for the remainder of the project costs has been submitted to WMCA.  If this funding is not forthcoming, it is envisaged that Dudley Council will seek prudential borrowing to meet the shortfall. In addition, the costs currently exclude specialist fixtures, </w:t>
      </w:r>
      <w:proofErr w:type="gramStart"/>
      <w:r w:rsidRPr="005F54EB">
        <w:rPr>
          <w:rFonts w:asciiTheme="minorHAnsi" w:eastAsia="Calibri" w:hAnsiTheme="minorHAnsi" w:cstheme="minorHAnsi"/>
          <w:color w:val="auto"/>
          <w:lang w:val="en-US"/>
        </w:rPr>
        <w:t>fittings</w:t>
      </w:r>
      <w:proofErr w:type="gramEnd"/>
      <w:r w:rsidRPr="005F54EB">
        <w:rPr>
          <w:rFonts w:asciiTheme="minorHAnsi" w:eastAsia="Calibri" w:hAnsiTheme="minorHAnsi" w:cstheme="minorHAnsi"/>
          <w:color w:val="auto"/>
          <w:lang w:val="en-US"/>
        </w:rPr>
        <w:t xml:space="preserve"> and equipment.  Dudley College of Technology will seek to secure additional private sector funds to cover the costs of this equipment, however if these costs cannot be met in full, the College intend to lease equipment which will be charged on to </w:t>
      </w:r>
      <w:proofErr w:type="spellStart"/>
      <w:r w:rsidRPr="005F54EB">
        <w:rPr>
          <w:rFonts w:asciiTheme="minorHAnsi" w:eastAsia="Calibri" w:hAnsiTheme="minorHAnsi" w:cstheme="minorHAnsi"/>
          <w:color w:val="auto"/>
          <w:lang w:val="en-US"/>
        </w:rPr>
        <w:t>UoW</w:t>
      </w:r>
      <w:proofErr w:type="spellEnd"/>
      <w:r w:rsidRPr="005F54EB">
        <w:rPr>
          <w:rFonts w:asciiTheme="minorHAnsi" w:eastAsia="Calibri" w:hAnsiTheme="minorHAnsi" w:cstheme="minorHAnsi"/>
          <w:color w:val="auto"/>
          <w:lang w:val="en-US"/>
        </w:rPr>
        <w:t xml:space="preserve"> as part of their Service Level Agreement with the College.    </w:t>
      </w:r>
    </w:p>
    <w:p w14:paraId="25DD5641" w14:textId="26FEC285" w:rsidR="005919B7" w:rsidRDefault="005919B7" w:rsidP="004D4ADE">
      <w:pPr>
        <w:spacing w:before="240" w:after="240"/>
        <w:jc w:val="both"/>
        <w:rPr>
          <w:rFonts w:asciiTheme="minorHAnsi" w:eastAsia="Calibri" w:hAnsiTheme="minorHAnsi" w:cstheme="minorHAnsi"/>
          <w:b/>
          <w:bCs/>
          <w:color w:val="auto"/>
          <w:lang w:val="en-US"/>
        </w:rPr>
      </w:pPr>
      <w:r w:rsidRPr="00420F57">
        <w:rPr>
          <w:rFonts w:asciiTheme="minorHAnsi" w:eastAsia="Calibri" w:hAnsiTheme="minorHAnsi" w:cstheme="minorHAnsi"/>
          <w:b/>
          <w:bCs/>
          <w:color w:val="auto"/>
          <w:lang w:val="en-US"/>
        </w:rPr>
        <w:t>ES Table 3: Total Project funding including co-funding</w:t>
      </w:r>
    </w:p>
    <w:tbl>
      <w:tblPr>
        <w:tblStyle w:val="TableGrid"/>
        <w:tblW w:w="0" w:type="auto"/>
        <w:shd w:val="clear" w:color="auto" w:fill="D9D9D9" w:themeFill="background1" w:themeFillShade="D9"/>
        <w:tblLook w:val="04A0" w:firstRow="1" w:lastRow="0" w:firstColumn="1" w:lastColumn="0" w:noHBand="0" w:noVBand="1"/>
      </w:tblPr>
      <w:tblGrid>
        <w:gridCol w:w="2422"/>
        <w:gridCol w:w="1095"/>
        <w:gridCol w:w="1096"/>
        <w:gridCol w:w="1096"/>
        <w:gridCol w:w="1095"/>
        <w:gridCol w:w="1096"/>
        <w:gridCol w:w="1096"/>
      </w:tblGrid>
      <w:tr w:rsidR="005919B7" w:rsidRPr="009F2B5C" w14:paraId="1612A235" w14:textId="77777777" w:rsidTr="00AB6BD6">
        <w:tc>
          <w:tcPr>
            <w:tcW w:w="8996" w:type="dxa"/>
            <w:gridSpan w:val="7"/>
            <w:tcBorders>
              <w:top w:val="double" w:sz="4" w:space="0" w:color="auto"/>
              <w:left w:val="double" w:sz="4" w:space="0" w:color="auto"/>
              <w:bottom w:val="single" w:sz="6" w:space="0" w:color="auto"/>
              <w:right w:val="double" w:sz="4" w:space="0" w:color="auto"/>
            </w:tcBorders>
            <w:shd w:val="clear" w:color="auto" w:fill="D9D9D9" w:themeFill="background1" w:themeFillShade="D9"/>
          </w:tcPr>
          <w:p w14:paraId="3742BB27" w14:textId="77777777" w:rsidR="005919B7" w:rsidRPr="009F2B5C" w:rsidRDefault="005919B7" w:rsidP="001032F0">
            <w:pPr>
              <w:rPr>
                <w:rFonts w:asciiTheme="minorHAnsi" w:hAnsiTheme="minorHAnsi" w:cstheme="minorHAnsi"/>
                <w:b/>
                <w:bCs/>
              </w:rPr>
            </w:pPr>
            <w:r w:rsidRPr="009F2B5C">
              <w:rPr>
                <w:rFonts w:asciiTheme="minorHAnsi" w:hAnsiTheme="minorHAnsi" w:cstheme="minorHAnsi"/>
                <w:b/>
                <w:bCs/>
              </w:rPr>
              <w:t>Summary funding (£000)</w:t>
            </w:r>
          </w:p>
        </w:tc>
      </w:tr>
      <w:tr w:rsidR="004D4ADE" w:rsidRPr="009F2B5C" w14:paraId="451EF351" w14:textId="77777777" w:rsidTr="00AB6BD6">
        <w:tc>
          <w:tcPr>
            <w:tcW w:w="2422" w:type="dxa"/>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63E59954" w14:textId="77777777" w:rsidR="005919B7" w:rsidRPr="009F2B5C" w:rsidRDefault="005919B7" w:rsidP="001032F0">
            <w:pPr>
              <w:rPr>
                <w:rFonts w:asciiTheme="minorHAnsi" w:hAnsiTheme="minorHAnsi" w:cstheme="minorHAnsi"/>
              </w:rPr>
            </w:pP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380FB1"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2021/22</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BEF3E2"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2022/23</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9F053C"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2023/24</w:t>
            </w: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98AA5B"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2024/25</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CC63E9"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2025/26</w:t>
            </w:r>
          </w:p>
        </w:tc>
        <w:tc>
          <w:tcPr>
            <w:tcW w:w="1096"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6D21CF69"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Total</w:t>
            </w:r>
          </w:p>
        </w:tc>
      </w:tr>
      <w:tr w:rsidR="004D4ADE" w:rsidRPr="009F2B5C" w14:paraId="089EF6B0" w14:textId="77777777" w:rsidTr="00AB6BD6">
        <w:tc>
          <w:tcPr>
            <w:tcW w:w="2422" w:type="dxa"/>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4F695426" w14:textId="77777777" w:rsidR="005919B7" w:rsidRPr="009F2B5C" w:rsidRDefault="005919B7" w:rsidP="001032F0">
            <w:pPr>
              <w:rPr>
                <w:rFonts w:asciiTheme="minorHAnsi" w:hAnsiTheme="minorHAnsi" w:cstheme="minorHAnsi"/>
              </w:rPr>
            </w:pPr>
            <w:r w:rsidRPr="009F2B5C">
              <w:rPr>
                <w:rFonts w:asciiTheme="minorHAnsi" w:hAnsiTheme="minorHAnsi" w:cstheme="minorHAnsi"/>
              </w:rPr>
              <w:t>Town Deal</w:t>
            </w: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CE1AF6" w14:textId="041A71A2" w:rsidR="005919B7" w:rsidRPr="009F2B5C" w:rsidRDefault="005919B7" w:rsidP="001032F0">
            <w:pPr>
              <w:jc w:val="center"/>
              <w:rPr>
                <w:rFonts w:asciiTheme="minorHAnsi" w:hAnsiTheme="minorHAnsi" w:cstheme="minorHAnsi"/>
              </w:rPr>
            </w:pPr>
            <w:r w:rsidRPr="009F2B5C">
              <w:rPr>
                <w:rFonts w:asciiTheme="minorHAnsi" w:hAnsiTheme="minorHAnsi" w:cstheme="minorHAnsi"/>
              </w:rPr>
              <w:t>9</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BED0B15"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5,555</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CF1BEA"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11,468</w:t>
            </w: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6EC070" w14:textId="58F23F8C" w:rsidR="005919B7" w:rsidRPr="009F2B5C" w:rsidRDefault="005919B7" w:rsidP="001032F0">
            <w:pPr>
              <w:jc w:val="center"/>
              <w:rPr>
                <w:rFonts w:asciiTheme="minorHAnsi" w:hAnsiTheme="minorHAnsi" w:cstheme="minorHAnsi"/>
              </w:rPr>
            </w:pPr>
            <w:r w:rsidRPr="009F2B5C">
              <w:rPr>
                <w:rFonts w:asciiTheme="minorHAnsi" w:hAnsiTheme="minorHAnsi" w:cstheme="minorHAnsi"/>
              </w:rPr>
              <w:t>7,</w:t>
            </w:r>
            <w:r w:rsidR="004D4ADE">
              <w:rPr>
                <w:rFonts w:asciiTheme="minorHAnsi" w:hAnsiTheme="minorHAnsi" w:cstheme="minorHAnsi"/>
              </w:rPr>
              <w:t>422</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ED9801F" w14:textId="2F1035C8" w:rsidR="005919B7" w:rsidRPr="004D4ADE" w:rsidRDefault="004D4ADE" w:rsidP="001032F0">
            <w:pPr>
              <w:jc w:val="center"/>
              <w:rPr>
                <w:rFonts w:asciiTheme="minorHAnsi" w:hAnsiTheme="minorHAnsi" w:cstheme="minorHAnsi"/>
              </w:rPr>
            </w:pPr>
            <w:r w:rsidRPr="004D4ADE">
              <w:rPr>
                <w:rFonts w:asciiTheme="minorHAnsi" w:hAnsiTheme="minorHAnsi" w:cstheme="minorHAnsi"/>
              </w:rPr>
              <w:t>546</w:t>
            </w:r>
          </w:p>
        </w:tc>
        <w:tc>
          <w:tcPr>
            <w:tcW w:w="1096"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091513A3"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25,000</w:t>
            </w:r>
          </w:p>
        </w:tc>
      </w:tr>
      <w:tr w:rsidR="004D4ADE" w:rsidRPr="009F2B5C" w14:paraId="13A25635" w14:textId="77777777" w:rsidTr="00AB6BD6">
        <w:tc>
          <w:tcPr>
            <w:tcW w:w="2422" w:type="dxa"/>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556A6054" w14:textId="77777777" w:rsidR="005919B7" w:rsidRPr="009F2B5C" w:rsidRDefault="005919B7" w:rsidP="001032F0">
            <w:pPr>
              <w:rPr>
                <w:rFonts w:asciiTheme="minorHAnsi" w:hAnsiTheme="minorHAnsi" w:cstheme="minorHAnsi"/>
              </w:rPr>
            </w:pPr>
            <w:r w:rsidRPr="009F2B5C">
              <w:rPr>
                <w:rFonts w:asciiTheme="minorHAnsi" w:hAnsiTheme="minorHAnsi" w:cstheme="minorHAnsi"/>
              </w:rPr>
              <w:t>Other (public)</w:t>
            </w: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FE5EAA" w14:textId="3B58114B" w:rsidR="005919B7" w:rsidRPr="009F2B5C" w:rsidRDefault="004D4ADE" w:rsidP="001032F0">
            <w:pPr>
              <w:jc w:val="center"/>
              <w:rPr>
                <w:rFonts w:asciiTheme="minorHAnsi" w:hAnsiTheme="minorHAnsi" w:cstheme="minorHAnsi"/>
              </w:rPr>
            </w:pPr>
            <w:r>
              <w:rPr>
                <w:rFonts w:asciiTheme="minorHAnsi" w:hAnsiTheme="minorHAnsi" w:cstheme="minorHAnsi"/>
              </w:rPr>
              <w:t>1</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828C07"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492</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42D484"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1,016</w:t>
            </w:r>
          </w:p>
        </w:tc>
        <w:tc>
          <w:tcPr>
            <w:tcW w:w="1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DF9C0E"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706</w:t>
            </w:r>
          </w:p>
        </w:tc>
        <w:tc>
          <w:tcPr>
            <w:tcW w:w="10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727F3C"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w:t>
            </w:r>
          </w:p>
        </w:tc>
        <w:tc>
          <w:tcPr>
            <w:tcW w:w="1096"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tcPr>
          <w:p w14:paraId="3687D27A" w14:textId="77777777" w:rsidR="005919B7" w:rsidRPr="009F2B5C" w:rsidRDefault="005919B7" w:rsidP="001032F0">
            <w:pPr>
              <w:jc w:val="center"/>
              <w:rPr>
                <w:rFonts w:asciiTheme="minorHAnsi" w:hAnsiTheme="minorHAnsi" w:cstheme="minorHAnsi"/>
              </w:rPr>
            </w:pPr>
            <w:r w:rsidRPr="009F2B5C">
              <w:rPr>
                <w:rFonts w:asciiTheme="minorHAnsi" w:hAnsiTheme="minorHAnsi" w:cstheme="minorHAnsi"/>
              </w:rPr>
              <w:t>2,215</w:t>
            </w:r>
          </w:p>
        </w:tc>
      </w:tr>
      <w:tr w:rsidR="004D4ADE" w:rsidRPr="009F2B5C" w14:paraId="080236D2" w14:textId="77777777" w:rsidTr="00AB6BD6">
        <w:tc>
          <w:tcPr>
            <w:tcW w:w="2422" w:type="dxa"/>
            <w:tcBorders>
              <w:top w:val="single" w:sz="6" w:space="0" w:color="auto"/>
              <w:left w:val="double" w:sz="4" w:space="0" w:color="auto"/>
              <w:bottom w:val="double" w:sz="4" w:space="0" w:color="auto"/>
              <w:right w:val="single" w:sz="6" w:space="0" w:color="auto"/>
            </w:tcBorders>
            <w:shd w:val="clear" w:color="auto" w:fill="D9D9D9" w:themeFill="background1" w:themeFillShade="D9"/>
          </w:tcPr>
          <w:p w14:paraId="55D1F875" w14:textId="77777777" w:rsidR="005919B7" w:rsidRPr="009F2B5C" w:rsidRDefault="005919B7" w:rsidP="001032F0">
            <w:pPr>
              <w:rPr>
                <w:rFonts w:asciiTheme="minorHAnsi" w:hAnsiTheme="minorHAnsi" w:cstheme="minorHAnsi"/>
                <w:b/>
                <w:bCs/>
              </w:rPr>
            </w:pPr>
            <w:r w:rsidRPr="009F2B5C">
              <w:rPr>
                <w:rFonts w:asciiTheme="minorHAnsi" w:hAnsiTheme="minorHAnsi" w:cstheme="minorHAnsi"/>
                <w:b/>
                <w:bCs/>
              </w:rPr>
              <w:t>Total</w:t>
            </w:r>
          </w:p>
        </w:tc>
        <w:tc>
          <w:tcPr>
            <w:tcW w:w="1095"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73358C19"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10.00</w:t>
            </w:r>
          </w:p>
        </w:tc>
        <w:tc>
          <w:tcPr>
            <w:tcW w:w="1096"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684C94FD"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6,047</w:t>
            </w:r>
          </w:p>
        </w:tc>
        <w:tc>
          <w:tcPr>
            <w:tcW w:w="1096"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5CFC9C21"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12,484</w:t>
            </w:r>
          </w:p>
        </w:tc>
        <w:tc>
          <w:tcPr>
            <w:tcW w:w="1095"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61FE7F3E" w14:textId="7F066776"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8,</w:t>
            </w:r>
            <w:r w:rsidR="004D4ADE">
              <w:rPr>
                <w:rFonts w:asciiTheme="minorHAnsi" w:hAnsiTheme="minorHAnsi" w:cstheme="minorHAnsi"/>
                <w:b/>
                <w:bCs/>
              </w:rPr>
              <w:t>128</w:t>
            </w:r>
          </w:p>
        </w:tc>
        <w:tc>
          <w:tcPr>
            <w:tcW w:w="1096"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tcPr>
          <w:p w14:paraId="7B6464E2" w14:textId="6B4913E2" w:rsidR="005919B7" w:rsidRPr="00A34A54" w:rsidRDefault="00A34A54" w:rsidP="001032F0">
            <w:pPr>
              <w:jc w:val="center"/>
              <w:rPr>
                <w:rFonts w:asciiTheme="minorHAnsi" w:hAnsiTheme="minorHAnsi" w:cstheme="minorHAnsi"/>
                <w:b/>
                <w:bCs/>
              </w:rPr>
            </w:pPr>
            <w:r w:rsidRPr="00A34A54">
              <w:rPr>
                <w:rFonts w:asciiTheme="minorHAnsi" w:hAnsiTheme="minorHAnsi" w:cstheme="minorHAnsi"/>
                <w:b/>
                <w:bCs/>
              </w:rPr>
              <w:t>546</w:t>
            </w:r>
          </w:p>
        </w:tc>
        <w:tc>
          <w:tcPr>
            <w:tcW w:w="1096" w:type="dxa"/>
            <w:tcBorders>
              <w:top w:val="single" w:sz="6" w:space="0" w:color="auto"/>
              <w:left w:val="single" w:sz="6" w:space="0" w:color="auto"/>
              <w:bottom w:val="double" w:sz="4" w:space="0" w:color="auto"/>
              <w:right w:val="double" w:sz="4" w:space="0" w:color="auto"/>
            </w:tcBorders>
            <w:shd w:val="clear" w:color="auto" w:fill="D9D9D9" w:themeFill="background1" w:themeFillShade="D9"/>
            <w:vAlign w:val="center"/>
          </w:tcPr>
          <w:p w14:paraId="557F1980" w14:textId="77777777" w:rsidR="005919B7" w:rsidRPr="009F2B5C" w:rsidRDefault="005919B7" w:rsidP="001032F0">
            <w:pPr>
              <w:jc w:val="center"/>
              <w:rPr>
                <w:rFonts w:asciiTheme="minorHAnsi" w:hAnsiTheme="minorHAnsi" w:cstheme="minorHAnsi"/>
                <w:b/>
                <w:bCs/>
              </w:rPr>
            </w:pPr>
            <w:r w:rsidRPr="009F2B5C">
              <w:rPr>
                <w:rFonts w:asciiTheme="minorHAnsi" w:hAnsiTheme="minorHAnsi" w:cstheme="minorHAnsi"/>
                <w:b/>
                <w:bCs/>
              </w:rPr>
              <w:t>27,215</w:t>
            </w:r>
          </w:p>
        </w:tc>
      </w:tr>
    </w:tbl>
    <w:p w14:paraId="57FDB84E" w14:textId="102005CE" w:rsidR="005919B7" w:rsidRPr="00A34A54" w:rsidRDefault="005919B7" w:rsidP="005919B7">
      <w:pPr>
        <w:pStyle w:val="AmionBodyText"/>
        <w:rPr>
          <w:rStyle w:val="ClientTitle"/>
          <w:rFonts w:asciiTheme="minorHAnsi" w:hAnsiTheme="minorHAnsi" w:cstheme="minorHAnsi"/>
          <w:color w:val="auto"/>
        </w:rPr>
      </w:pPr>
      <w:bookmarkStart w:id="0" w:name="_Hlk89238216"/>
      <w:r w:rsidRPr="00A34A54">
        <w:rPr>
          <w:rStyle w:val="ClientTitle"/>
          <w:rFonts w:asciiTheme="minorHAnsi" w:hAnsiTheme="minorHAnsi" w:cstheme="minorHAnsi"/>
          <w:color w:val="auto"/>
        </w:rPr>
        <w:t xml:space="preserve">The operational costs of the new University Centre, in terms of academic staff costs; building management and maintenance; utilities </w:t>
      </w:r>
      <w:proofErr w:type="spellStart"/>
      <w:r w:rsidRPr="00A34A54">
        <w:rPr>
          <w:rStyle w:val="ClientTitle"/>
          <w:rFonts w:asciiTheme="minorHAnsi" w:hAnsiTheme="minorHAnsi" w:cstheme="minorHAnsi"/>
          <w:color w:val="auto"/>
        </w:rPr>
        <w:t>etc</w:t>
      </w:r>
      <w:proofErr w:type="spellEnd"/>
      <w:r w:rsidRPr="00A34A54">
        <w:rPr>
          <w:rStyle w:val="ClientTitle"/>
          <w:rFonts w:asciiTheme="minorHAnsi" w:hAnsiTheme="minorHAnsi" w:cstheme="minorHAnsi"/>
          <w:color w:val="auto"/>
        </w:rPr>
        <w:t xml:space="preserve"> will be met from income generated via tuition fees.  An indication of the breadth of the curriculum is provided in section 4.7</w:t>
      </w:r>
      <w:r w:rsidR="00DB2438" w:rsidRPr="00A34A54">
        <w:rPr>
          <w:rStyle w:val="ClientTitle"/>
          <w:rFonts w:asciiTheme="minorHAnsi" w:hAnsiTheme="minorHAnsi" w:cstheme="minorHAnsi"/>
          <w:color w:val="auto"/>
        </w:rPr>
        <w:t xml:space="preserve">of the business case in addition to </w:t>
      </w:r>
      <w:r w:rsidRPr="00A34A54">
        <w:rPr>
          <w:rStyle w:val="ClientTitle"/>
          <w:rFonts w:asciiTheme="minorHAnsi" w:hAnsiTheme="minorHAnsi" w:cstheme="minorHAnsi"/>
          <w:color w:val="auto"/>
        </w:rPr>
        <w:t xml:space="preserve">projected student/learner numbers.  The University will deliver a combination of full-time and part-time </w:t>
      </w:r>
      <w:proofErr w:type="spellStart"/>
      <w:r w:rsidRPr="00A34A54">
        <w:rPr>
          <w:rStyle w:val="ClientTitle"/>
          <w:rFonts w:asciiTheme="minorHAnsi" w:hAnsiTheme="minorHAnsi" w:cstheme="minorHAnsi"/>
          <w:color w:val="auto"/>
        </w:rPr>
        <w:t>programmes</w:t>
      </w:r>
      <w:proofErr w:type="spellEnd"/>
      <w:r w:rsidR="00DB2438" w:rsidRPr="00A34A54">
        <w:rPr>
          <w:rStyle w:val="ClientTitle"/>
          <w:rFonts w:asciiTheme="minorHAnsi" w:hAnsiTheme="minorHAnsi" w:cstheme="minorHAnsi"/>
          <w:color w:val="auto"/>
        </w:rPr>
        <w:t xml:space="preserve">, including foundation courses, </w:t>
      </w:r>
      <w:proofErr w:type="gramStart"/>
      <w:r w:rsidR="00DB2438" w:rsidRPr="00A34A54">
        <w:rPr>
          <w:rStyle w:val="ClientTitle"/>
          <w:rFonts w:asciiTheme="minorHAnsi" w:hAnsiTheme="minorHAnsi" w:cstheme="minorHAnsi"/>
          <w:color w:val="auto"/>
        </w:rPr>
        <w:t>masters</w:t>
      </w:r>
      <w:proofErr w:type="gramEnd"/>
      <w:r w:rsidR="00DB2438" w:rsidRPr="00A34A54">
        <w:rPr>
          <w:rStyle w:val="ClientTitle"/>
          <w:rFonts w:asciiTheme="minorHAnsi" w:hAnsiTheme="minorHAnsi" w:cstheme="minorHAnsi"/>
          <w:color w:val="auto"/>
        </w:rPr>
        <w:t xml:space="preserve"> and continuous professional learning for approximately </w:t>
      </w:r>
      <w:r w:rsidRPr="00A34A54">
        <w:rPr>
          <w:rStyle w:val="ClientTitle"/>
          <w:rFonts w:asciiTheme="minorHAnsi" w:hAnsiTheme="minorHAnsi" w:cstheme="minorHAnsi"/>
          <w:color w:val="auto"/>
        </w:rPr>
        <w:t xml:space="preserve">1,800 learners </w:t>
      </w:r>
      <w:r w:rsidR="00DB2438" w:rsidRPr="00A34A54">
        <w:rPr>
          <w:rStyle w:val="ClientTitle"/>
          <w:rFonts w:asciiTheme="minorHAnsi" w:hAnsiTheme="minorHAnsi" w:cstheme="minorHAnsi"/>
          <w:color w:val="auto"/>
        </w:rPr>
        <w:t xml:space="preserve">by Year 5.  The Centre is expected to generate </w:t>
      </w:r>
      <w:r w:rsidR="00A34A54" w:rsidRPr="00A34A54">
        <w:rPr>
          <w:rStyle w:val="ClientTitle"/>
          <w:rFonts w:asciiTheme="minorHAnsi" w:hAnsiTheme="minorHAnsi" w:cstheme="minorHAnsi"/>
          <w:color w:val="auto"/>
        </w:rPr>
        <w:t xml:space="preserve">turnover of </w:t>
      </w:r>
      <w:r w:rsidR="00DB2438" w:rsidRPr="00A34A54">
        <w:rPr>
          <w:rStyle w:val="ClientTitle"/>
          <w:rFonts w:asciiTheme="minorHAnsi" w:hAnsiTheme="minorHAnsi" w:cstheme="minorHAnsi"/>
          <w:color w:val="auto"/>
        </w:rPr>
        <w:t>£13m by Year 5</w:t>
      </w:r>
      <w:r w:rsidR="00A34A54" w:rsidRPr="00A34A54">
        <w:rPr>
          <w:rStyle w:val="ClientTitle"/>
          <w:rFonts w:asciiTheme="minorHAnsi" w:hAnsiTheme="minorHAnsi" w:cstheme="minorHAnsi"/>
          <w:color w:val="auto"/>
        </w:rPr>
        <w:t xml:space="preserve">, </w:t>
      </w:r>
      <w:r w:rsidR="00DB2438" w:rsidRPr="00A34A54">
        <w:rPr>
          <w:rStyle w:val="ClientTitle"/>
          <w:rFonts w:asciiTheme="minorHAnsi" w:hAnsiTheme="minorHAnsi" w:cstheme="minorHAnsi"/>
          <w:color w:val="auto"/>
        </w:rPr>
        <w:t xml:space="preserve">based on </w:t>
      </w:r>
      <w:r w:rsidRPr="00A34A54">
        <w:rPr>
          <w:rStyle w:val="ClientTitle"/>
          <w:rFonts w:asciiTheme="minorHAnsi" w:hAnsiTheme="minorHAnsi" w:cstheme="minorHAnsi"/>
          <w:color w:val="auto"/>
        </w:rPr>
        <w:t>current tuition fees</w:t>
      </w:r>
      <w:r w:rsidR="00DB2438" w:rsidRPr="00A34A54">
        <w:rPr>
          <w:rStyle w:val="ClientTitle"/>
          <w:rFonts w:asciiTheme="minorHAnsi" w:hAnsiTheme="minorHAnsi" w:cstheme="minorHAnsi"/>
          <w:color w:val="auto"/>
        </w:rPr>
        <w:t xml:space="preserve">, with </w:t>
      </w:r>
      <w:r w:rsidRPr="00A34A54">
        <w:rPr>
          <w:rStyle w:val="ClientTitle"/>
          <w:rFonts w:asciiTheme="minorHAnsi" w:hAnsiTheme="minorHAnsi" w:cstheme="minorHAnsi"/>
          <w:color w:val="auto"/>
        </w:rPr>
        <w:t>operating costs</w:t>
      </w:r>
      <w:r w:rsidR="00DB2438" w:rsidRPr="00A34A54">
        <w:rPr>
          <w:rStyle w:val="ClientTitle"/>
          <w:rFonts w:asciiTheme="minorHAnsi" w:hAnsiTheme="minorHAnsi" w:cstheme="minorHAnsi"/>
          <w:color w:val="auto"/>
        </w:rPr>
        <w:t xml:space="preserve"> </w:t>
      </w:r>
      <w:proofErr w:type="gramStart"/>
      <w:r w:rsidR="00DB2438" w:rsidRPr="00A34A54">
        <w:rPr>
          <w:rStyle w:val="ClientTitle"/>
          <w:rFonts w:asciiTheme="minorHAnsi" w:hAnsiTheme="minorHAnsi" w:cstheme="minorHAnsi"/>
          <w:color w:val="auto"/>
        </w:rPr>
        <w:t>in excess of</w:t>
      </w:r>
      <w:proofErr w:type="gramEnd"/>
      <w:r w:rsidR="00DB2438" w:rsidRPr="00A34A54">
        <w:rPr>
          <w:rStyle w:val="ClientTitle"/>
          <w:rFonts w:asciiTheme="minorHAnsi" w:hAnsiTheme="minorHAnsi" w:cstheme="minorHAnsi"/>
          <w:color w:val="auto"/>
        </w:rPr>
        <w:t xml:space="preserve"> £10m</w:t>
      </w:r>
      <w:r w:rsidR="00A34A54" w:rsidRPr="00A34A54">
        <w:rPr>
          <w:rStyle w:val="ClientTitle"/>
          <w:rFonts w:asciiTheme="minorHAnsi" w:hAnsiTheme="minorHAnsi" w:cstheme="minorHAnsi"/>
          <w:color w:val="auto"/>
        </w:rPr>
        <w:t xml:space="preserve">.  This figure currently </w:t>
      </w:r>
      <w:proofErr w:type="gramStart"/>
      <w:r w:rsidR="00A34A54" w:rsidRPr="00A34A54">
        <w:rPr>
          <w:rStyle w:val="ClientTitle"/>
          <w:rFonts w:asciiTheme="minorHAnsi" w:hAnsiTheme="minorHAnsi" w:cstheme="minorHAnsi"/>
          <w:color w:val="auto"/>
        </w:rPr>
        <w:t xml:space="preserve">excludes </w:t>
      </w:r>
      <w:r w:rsidRPr="00A34A54">
        <w:rPr>
          <w:rStyle w:val="ClientTitle"/>
          <w:rFonts w:asciiTheme="minorHAnsi" w:hAnsiTheme="minorHAnsi" w:cstheme="minorHAnsi"/>
          <w:color w:val="auto"/>
        </w:rPr>
        <w:t xml:space="preserve"> costs</w:t>
      </w:r>
      <w:proofErr w:type="gramEnd"/>
      <w:r w:rsidRPr="00A34A54">
        <w:rPr>
          <w:rStyle w:val="ClientTitle"/>
          <w:rFonts w:asciiTheme="minorHAnsi" w:hAnsiTheme="minorHAnsi" w:cstheme="minorHAnsi"/>
          <w:color w:val="auto"/>
        </w:rPr>
        <w:t xml:space="preserve"> associated with the lease of the building</w:t>
      </w:r>
      <w:r w:rsidR="00A34A54" w:rsidRPr="00A34A54">
        <w:rPr>
          <w:rStyle w:val="ClientTitle"/>
          <w:rFonts w:asciiTheme="minorHAnsi" w:hAnsiTheme="minorHAnsi" w:cstheme="minorHAnsi"/>
          <w:color w:val="auto"/>
        </w:rPr>
        <w:t xml:space="preserve">, </w:t>
      </w:r>
      <w:r w:rsidRPr="00A34A54">
        <w:rPr>
          <w:rStyle w:val="ClientTitle"/>
          <w:rFonts w:asciiTheme="minorHAnsi" w:hAnsiTheme="minorHAnsi" w:cstheme="minorHAnsi"/>
          <w:color w:val="auto"/>
        </w:rPr>
        <w:t xml:space="preserve">central overheads </w:t>
      </w:r>
      <w:r w:rsidR="00A34A54" w:rsidRPr="00A34A54">
        <w:rPr>
          <w:rStyle w:val="ClientTitle"/>
          <w:rFonts w:asciiTheme="minorHAnsi" w:hAnsiTheme="minorHAnsi" w:cstheme="minorHAnsi"/>
          <w:color w:val="auto"/>
        </w:rPr>
        <w:t xml:space="preserve">and </w:t>
      </w:r>
      <w:proofErr w:type="spellStart"/>
      <w:r w:rsidR="00A34A54" w:rsidRPr="00A34A54">
        <w:rPr>
          <w:rStyle w:val="ClientTitle"/>
          <w:rFonts w:asciiTheme="minorHAnsi" w:hAnsiTheme="minorHAnsi" w:cstheme="minorHAnsi"/>
          <w:color w:val="auto"/>
        </w:rPr>
        <w:t>licence</w:t>
      </w:r>
      <w:proofErr w:type="spellEnd"/>
      <w:r w:rsidR="00A34A54" w:rsidRPr="00A34A54">
        <w:rPr>
          <w:rStyle w:val="ClientTitle"/>
          <w:rFonts w:asciiTheme="minorHAnsi" w:hAnsiTheme="minorHAnsi" w:cstheme="minorHAnsi"/>
          <w:color w:val="auto"/>
        </w:rPr>
        <w:t xml:space="preserve"> fees which are s</w:t>
      </w:r>
      <w:r w:rsidRPr="00A34A54">
        <w:rPr>
          <w:rStyle w:val="ClientTitle"/>
          <w:rFonts w:asciiTheme="minorHAnsi" w:hAnsiTheme="minorHAnsi" w:cstheme="minorHAnsi"/>
          <w:color w:val="auto"/>
        </w:rPr>
        <w:t xml:space="preserve">ubject </w:t>
      </w:r>
      <w:r w:rsidR="00A34A54" w:rsidRPr="00A34A54">
        <w:rPr>
          <w:rStyle w:val="ClientTitle"/>
          <w:rFonts w:asciiTheme="minorHAnsi" w:hAnsiTheme="minorHAnsi" w:cstheme="minorHAnsi"/>
          <w:color w:val="auto"/>
        </w:rPr>
        <w:t xml:space="preserve">to </w:t>
      </w:r>
      <w:r w:rsidRPr="00A34A54">
        <w:rPr>
          <w:rStyle w:val="ClientTitle"/>
          <w:rFonts w:asciiTheme="minorHAnsi" w:hAnsiTheme="minorHAnsi" w:cstheme="minorHAnsi"/>
          <w:color w:val="auto"/>
        </w:rPr>
        <w:t xml:space="preserve">current contract negotiations.  </w:t>
      </w:r>
    </w:p>
    <w:bookmarkEnd w:id="0"/>
    <w:p w14:paraId="3B947402" w14:textId="77777777" w:rsidR="005919B7" w:rsidRDefault="005919B7" w:rsidP="0044570A">
      <w:pPr>
        <w:pStyle w:val="AmionBodyText"/>
        <w:spacing w:before="0"/>
        <w:rPr>
          <w:rStyle w:val="ClientTitle"/>
          <w:rFonts w:asciiTheme="minorHAnsi" w:hAnsiTheme="minorHAnsi" w:cstheme="minorHAnsi"/>
          <w:color w:val="0070C0"/>
        </w:rPr>
      </w:pPr>
    </w:p>
    <w:p w14:paraId="49334B3D" w14:textId="77777777" w:rsidR="005919B7" w:rsidRPr="00420F57" w:rsidRDefault="005919B7" w:rsidP="0044570A">
      <w:pPr>
        <w:pStyle w:val="Heading2"/>
        <w:jc w:val="both"/>
        <w:rPr>
          <w:rStyle w:val="ClientTitle"/>
          <w:rFonts w:asciiTheme="minorHAnsi" w:hAnsiTheme="minorHAnsi" w:cstheme="minorHAnsi"/>
          <w:color w:val="0070C0"/>
        </w:rPr>
      </w:pPr>
      <w:r w:rsidRPr="00420F57">
        <w:rPr>
          <w:rStyle w:val="ClientTitle"/>
          <w:rFonts w:asciiTheme="minorHAnsi" w:hAnsiTheme="minorHAnsi" w:cstheme="minorHAnsi"/>
          <w:color w:val="0070C0"/>
        </w:rPr>
        <w:t xml:space="preserve">Commercial Case Summary  </w:t>
      </w:r>
    </w:p>
    <w:p w14:paraId="4FDA4D2F" w14:textId="77777777" w:rsidR="005919B7" w:rsidRPr="00420F57" w:rsidRDefault="005919B7" w:rsidP="005919B7">
      <w:pPr>
        <w:jc w:val="both"/>
        <w:rPr>
          <w:rFonts w:asciiTheme="minorHAnsi" w:hAnsiTheme="minorHAnsi" w:cstheme="minorHAnsi"/>
        </w:rPr>
      </w:pPr>
    </w:p>
    <w:p w14:paraId="04CFDEBE" w14:textId="77777777" w:rsidR="005919B7" w:rsidRDefault="005919B7" w:rsidP="005919B7">
      <w:pPr>
        <w:pStyle w:val="Covertext"/>
        <w:spacing w:line="240" w:lineRule="auto"/>
        <w:jc w:val="both"/>
        <w:rPr>
          <w:rFonts w:asciiTheme="minorHAnsi" w:hAnsiTheme="minorHAnsi" w:cstheme="minorHAnsi"/>
          <w:bCs/>
          <w:color w:val="auto"/>
          <w:sz w:val="22"/>
          <w:szCs w:val="22"/>
          <w:lang w:val="en-US"/>
        </w:rPr>
      </w:pPr>
      <w:r>
        <w:rPr>
          <w:rFonts w:asciiTheme="minorHAnsi" w:hAnsiTheme="minorHAnsi" w:cstheme="minorHAnsi"/>
          <w:bCs/>
          <w:color w:val="auto"/>
          <w:sz w:val="22"/>
          <w:szCs w:val="22"/>
          <w:lang w:val="en-US"/>
        </w:rPr>
        <w:t xml:space="preserve">There are </w:t>
      </w:r>
      <w:proofErr w:type="gramStart"/>
      <w:r>
        <w:rPr>
          <w:rFonts w:asciiTheme="minorHAnsi" w:hAnsiTheme="minorHAnsi" w:cstheme="minorHAnsi"/>
          <w:bCs/>
          <w:color w:val="auto"/>
          <w:sz w:val="22"/>
          <w:szCs w:val="22"/>
          <w:lang w:val="en-US"/>
        </w:rPr>
        <w:t>a number of</w:t>
      </w:r>
      <w:proofErr w:type="gramEnd"/>
      <w:r>
        <w:rPr>
          <w:rFonts w:asciiTheme="minorHAnsi" w:hAnsiTheme="minorHAnsi" w:cstheme="minorHAnsi"/>
          <w:bCs/>
          <w:color w:val="auto"/>
          <w:sz w:val="22"/>
          <w:szCs w:val="22"/>
          <w:lang w:val="en-US"/>
        </w:rPr>
        <w:t xml:space="preserve"> key elements of consideration regarding the commercial deliverability of the proposal. </w:t>
      </w:r>
    </w:p>
    <w:p w14:paraId="35A0CA42" w14:textId="77777777" w:rsidR="005919B7" w:rsidRPr="00607562" w:rsidRDefault="005919B7" w:rsidP="005919B7">
      <w:pPr>
        <w:pStyle w:val="Covertext"/>
        <w:numPr>
          <w:ilvl w:val="0"/>
          <w:numId w:val="8"/>
        </w:numPr>
        <w:spacing w:line="240" w:lineRule="auto"/>
        <w:jc w:val="both"/>
        <w:rPr>
          <w:rFonts w:asciiTheme="minorHAnsi" w:hAnsiTheme="minorHAnsi" w:cstheme="minorHAnsi"/>
          <w:bCs/>
          <w:color w:val="auto"/>
          <w:sz w:val="22"/>
          <w:szCs w:val="22"/>
          <w:lang w:val="en-US"/>
        </w:rPr>
      </w:pPr>
      <w:r w:rsidRPr="001A3C27">
        <w:rPr>
          <w:rFonts w:asciiTheme="minorHAnsi" w:hAnsiTheme="minorHAnsi" w:cstheme="minorHAnsi"/>
          <w:b/>
          <w:color w:val="auto"/>
          <w:sz w:val="22"/>
          <w:szCs w:val="22"/>
          <w:lang w:val="en-US"/>
        </w:rPr>
        <w:t>Land transfer</w:t>
      </w:r>
      <w:r w:rsidRPr="00607562">
        <w:rPr>
          <w:rFonts w:asciiTheme="minorHAnsi" w:hAnsiTheme="minorHAnsi" w:cstheme="minorHAnsi"/>
          <w:bCs/>
          <w:color w:val="auto"/>
          <w:sz w:val="22"/>
          <w:szCs w:val="22"/>
          <w:lang w:val="en-US"/>
        </w:rPr>
        <w:t xml:space="preserve">: </w:t>
      </w:r>
      <w:proofErr w:type="gramStart"/>
      <w:r w:rsidRPr="00607562">
        <w:rPr>
          <w:rFonts w:asciiTheme="minorHAnsi" w:hAnsiTheme="minorHAnsi" w:cstheme="minorHAnsi"/>
          <w:bCs/>
          <w:color w:val="auto"/>
          <w:sz w:val="22"/>
          <w:szCs w:val="22"/>
          <w:lang w:val="en-US"/>
        </w:rPr>
        <w:t>The majority of</w:t>
      </w:r>
      <w:proofErr w:type="gramEnd"/>
      <w:r w:rsidRPr="00607562">
        <w:rPr>
          <w:rFonts w:asciiTheme="minorHAnsi" w:hAnsiTheme="minorHAnsi" w:cstheme="minorHAnsi"/>
          <w:bCs/>
          <w:color w:val="auto"/>
          <w:sz w:val="22"/>
          <w:szCs w:val="22"/>
          <w:lang w:val="en-US"/>
        </w:rPr>
        <w:t xml:space="preserve"> the proposed site for the new University Centre is already in Council ownership, however the project will require the assembly of third-party interests at 13 and 15 Castle Hill. The Council is currently in negotiation with the owners of these properties </w:t>
      </w:r>
      <w:proofErr w:type="gramStart"/>
      <w:r w:rsidRPr="00607562">
        <w:rPr>
          <w:rFonts w:asciiTheme="minorHAnsi" w:hAnsiTheme="minorHAnsi" w:cstheme="minorHAnsi"/>
          <w:bCs/>
          <w:color w:val="auto"/>
          <w:sz w:val="22"/>
          <w:szCs w:val="22"/>
          <w:lang w:val="en-US"/>
        </w:rPr>
        <w:t>with regard to</w:t>
      </w:r>
      <w:proofErr w:type="gramEnd"/>
      <w:r w:rsidRPr="00607562">
        <w:rPr>
          <w:rFonts w:asciiTheme="minorHAnsi" w:hAnsiTheme="minorHAnsi" w:cstheme="minorHAnsi"/>
          <w:bCs/>
          <w:color w:val="auto"/>
          <w:sz w:val="22"/>
          <w:szCs w:val="22"/>
          <w:lang w:val="en-US"/>
        </w:rPr>
        <w:t xml:space="preserve"> acquisition, however if these discussions do not result in the sale of </w:t>
      </w:r>
      <w:r w:rsidRPr="00607562">
        <w:rPr>
          <w:rFonts w:asciiTheme="minorHAnsi" w:hAnsiTheme="minorHAnsi" w:cstheme="minorHAnsi"/>
          <w:bCs/>
          <w:color w:val="auto"/>
          <w:sz w:val="22"/>
          <w:szCs w:val="22"/>
          <w:lang w:val="en-US"/>
        </w:rPr>
        <w:lastRenderedPageBreak/>
        <w:t xml:space="preserve">the properties, the Council will, where appropriate, use their Compulsory Purchase Order (CPO) powers if needed.    </w:t>
      </w:r>
    </w:p>
    <w:p w14:paraId="747C1865" w14:textId="0FBB4EE4" w:rsidR="005919B7" w:rsidRDefault="005919B7" w:rsidP="005919B7">
      <w:pPr>
        <w:pStyle w:val="ListParagraph"/>
        <w:numPr>
          <w:ilvl w:val="0"/>
          <w:numId w:val="8"/>
        </w:numPr>
        <w:jc w:val="both"/>
        <w:rPr>
          <w:rFonts w:asciiTheme="minorHAnsi" w:eastAsia="Calibri" w:hAnsiTheme="minorHAnsi" w:cstheme="minorHAnsi"/>
          <w:bCs/>
          <w:sz w:val="22"/>
          <w:szCs w:val="22"/>
          <w:lang w:val="en-US"/>
        </w:rPr>
      </w:pPr>
      <w:r w:rsidRPr="001A3C27">
        <w:rPr>
          <w:rFonts w:asciiTheme="minorHAnsi" w:eastAsia="Calibri" w:hAnsiTheme="minorHAnsi" w:cstheme="minorHAnsi"/>
          <w:b/>
          <w:sz w:val="22"/>
          <w:szCs w:val="22"/>
          <w:lang w:val="en-US"/>
        </w:rPr>
        <w:t>Planning permission:</w:t>
      </w:r>
      <w:r w:rsidRPr="00607562">
        <w:rPr>
          <w:rFonts w:asciiTheme="minorHAnsi" w:eastAsia="Calibri" w:hAnsiTheme="minorHAnsi" w:cstheme="minorHAnsi"/>
          <w:bCs/>
          <w:sz w:val="22"/>
          <w:szCs w:val="22"/>
          <w:lang w:val="en-US"/>
        </w:rPr>
        <w:t xml:space="preserve"> The planning application was submitted in August 2021 and approved at the 17th November DC Committee. However, in October the Council were notified that Theatre's Trust had submitted a request for the application to be called-in by the Department of Levelling Up, Housing and Communities (DLUHC). The call- in process allows the Secretary of State to take the decision-making power on a planning application out of the hands of the local planning authority (LPA) by calling it in for his own determination. This means that the decision notice for the application is put on hold until DLUHC officials have reviewed the application and decided if it is of 'more than local' importance and should therefore be determined by the Secretary of State. If this is the case there will be a public inquiry chaired by a planning inspector, who will then make a recommendation to the Secretary of State. </w:t>
      </w:r>
      <w:r>
        <w:rPr>
          <w:rFonts w:asciiTheme="minorHAnsi" w:eastAsia="Calibri" w:hAnsiTheme="minorHAnsi" w:cstheme="minorHAnsi"/>
          <w:bCs/>
          <w:sz w:val="22"/>
          <w:szCs w:val="22"/>
          <w:lang w:val="en-US"/>
        </w:rPr>
        <w:t>The decision on whether the</w:t>
      </w:r>
      <w:r w:rsidRPr="00607562">
        <w:rPr>
          <w:rFonts w:asciiTheme="minorHAnsi" w:eastAsia="Calibri" w:hAnsiTheme="minorHAnsi" w:cstheme="minorHAnsi"/>
          <w:bCs/>
          <w:sz w:val="22"/>
          <w:szCs w:val="22"/>
          <w:lang w:val="en-US"/>
        </w:rPr>
        <w:t xml:space="preserve"> application will be called in</w:t>
      </w:r>
      <w:r>
        <w:rPr>
          <w:rFonts w:asciiTheme="minorHAnsi" w:eastAsia="Calibri" w:hAnsiTheme="minorHAnsi" w:cstheme="minorHAnsi"/>
          <w:bCs/>
          <w:sz w:val="22"/>
          <w:szCs w:val="22"/>
          <w:lang w:val="en-US"/>
        </w:rPr>
        <w:t>, will be confirmed</w:t>
      </w:r>
      <w:r w:rsidRPr="00607562">
        <w:rPr>
          <w:rFonts w:asciiTheme="minorHAnsi" w:eastAsia="Calibri" w:hAnsiTheme="minorHAnsi" w:cstheme="minorHAnsi"/>
          <w:bCs/>
          <w:sz w:val="22"/>
          <w:szCs w:val="22"/>
          <w:lang w:val="en-US"/>
        </w:rPr>
        <w:t xml:space="preserve"> between January and March 2022.</w:t>
      </w:r>
    </w:p>
    <w:p w14:paraId="57C0D366" w14:textId="77777777" w:rsidR="005919B7" w:rsidRDefault="005919B7" w:rsidP="005919B7">
      <w:pPr>
        <w:pStyle w:val="ListParagraph"/>
        <w:jc w:val="both"/>
        <w:rPr>
          <w:rFonts w:asciiTheme="minorHAnsi" w:eastAsia="Calibri" w:hAnsiTheme="minorHAnsi" w:cstheme="minorHAnsi"/>
          <w:bCs/>
          <w:sz w:val="22"/>
          <w:szCs w:val="22"/>
          <w:lang w:val="en-US"/>
        </w:rPr>
      </w:pPr>
    </w:p>
    <w:p w14:paraId="1B7AE1E0" w14:textId="77777777" w:rsidR="005919B7" w:rsidRPr="00607562" w:rsidRDefault="005919B7" w:rsidP="005919B7">
      <w:pPr>
        <w:pStyle w:val="ListParagraph"/>
        <w:numPr>
          <w:ilvl w:val="0"/>
          <w:numId w:val="8"/>
        </w:numPr>
        <w:jc w:val="both"/>
        <w:rPr>
          <w:rFonts w:asciiTheme="minorHAnsi" w:eastAsia="Calibri" w:hAnsiTheme="minorHAnsi" w:cstheme="minorHAnsi"/>
          <w:bCs/>
          <w:sz w:val="22"/>
          <w:szCs w:val="22"/>
          <w:lang w:val="en-US"/>
        </w:rPr>
      </w:pPr>
      <w:r w:rsidRPr="00607562">
        <w:rPr>
          <w:rFonts w:asciiTheme="minorHAnsi" w:hAnsiTheme="minorHAnsi" w:cstheme="minorHAnsi"/>
          <w:b/>
          <w:sz w:val="22"/>
          <w:szCs w:val="22"/>
          <w:lang w:val="en-US"/>
        </w:rPr>
        <w:t xml:space="preserve">Procurement strategy: </w:t>
      </w:r>
      <w:r w:rsidRPr="00607562">
        <w:rPr>
          <w:rFonts w:asciiTheme="minorHAnsi" w:hAnsiTheme="minorHAnsi" w:cstheme="minorHAnsi"/>
          <w:bCs/>
          <w:sz w:val="22"/>
          <w:szCs w:val="22"/>
          <w:lang w:val="en-US"/>
        </w:rPr>
        <w:t>In partnership with Dudley College, DMBC will progress the delivery of the HID building using an insurance-backed alliance contract due to the complex nature of the scheme and the multiplicity of stakeholders involved. To use an insurance-backed alliancing contract, the procurement of a contract provider and facilitator is essential. The contract will be procured in two parts (a) for services prior to construction, and (b) for continued services throughout the construction phase.</w:t>
      </w:r>
      <w:r w:rsidRPr="00607562">
        <w:rPr>
          <w:rFonts w:asciiTheme="minorHAnsi" w:hAnsiTheme="minorHAnsi" w:cstheme="minorHAnsi"/>
          <w:sz w:val="22"/>
          <w:szCs w:val="22"/>
        </w:rPr>
        <w:t xml:space="preserve"> </w:t>
      </w:r>
      <w:r w:rsidRPr="00607562">
        <w:rPr>
          <w:rFonts w:asciiTheme="minorHAnsi" w:hAnsiTheme="minorHAnsi" w:cstheme="minorHAnsi"/>
          <w:bCs/>
          <w:sz w:val="22"/>
          <w:szCs w:val="22"/>
          <w:lang w:val="en-US"/>
        </w:rPr>
        <w:t>As DMBC do not have experience of facilitating insurance-backed alliancing agreements and Dudley college have previously worked with an extremely limited selection of consultants who are able to provide this service, the Council has decided to tender the opportunity. The Council will use an open, OJEU compliant tender procedure to secure a contractor that can deliver two distinct phases of the contract.</w:t>
      </w:r>
    </w:p>
    <w:p w14:paraId="5437FE7A" w14:textId="77777777" w:rsidR="005919B7" w:rsidRPr="00607562" w:rsidRDefault="005919B7" w:rsidP="005919B7">
      <w:pPr>
        <w:pStyle w:val="ListParagraph"/>
        <w:rPr>
          <w:rFonts w:asciiTheme="minorHAnsi" w:eastAsia="Calibri" w:hAnsiTheme="minorHAnsi" w:cstheme="minorHAnsi"/>
          <w:bCs/>
          <w:sz w:val="22"/>
          <w:szCs w:val="22"/>
          <w:lang w:val="en-US"/>
        </w:rPr>
      </w:pPr>
    </w:p>
    <w:p w14:paraId="032A7FB1" w14:textId="3C45E6B5" w:rsidR="005919B7" w:rsidRPr="001A3C27" w:rsidRDefault="005919B7" w:rsidP="005919B7">
      <w:pPr>
        <w:pStyle w:val="ListParagraph"/>
        <w:numPr>
          <w:ilvl w:val="0"/>
          <w:numId w:val="8"/>
        </w:numPr>
        <w:jc w:val="both"/>
        <w:rPr>
          <w:rFonts w:asciiTheme="minorHAnsi" w:eastAsia="Calibri" w:hAnsiTheme="minorHAnsi" w:cstheme="minorHAnsi"/>
          <w:b/>
          <w:sz w:val="22"/>
          <w:szCs w:val="22"/>
          <w:lang w:val="en-US"/>
        </w:rPr>
      </w:pPr>
      <w:r w:rsidRPr="00607562">
        <w:rPr>
          <w:rFonts w:asciiTheme="minorHAnsi" w:eastAsia="Calibri" w:hAnsiTheme="minorHAnsi" w:cstheme="minorHAnsi"/>
          <w:b/>
          <w:sz w:val="22"/>
          <w:szCs w:val="22"/>
          <w:lang w:val="en-US"/>
        </w:rPr>
        <w:t xml:space="preserve">Subsidy Control: </w:t>
      </w:r>
      <w:r w:rsidRPr="00607562">
        <w:rPr>
          <w:rFonts w:asciiTheme="minorHAnsi" w:eastAsia="Calibri" w:hAnsiTheme="minorHAnsi" w:cstheme="minorHAnsi"/>
          <w:bCs/>
          <w:sz w:val="22"/>
          <w:szCs w:val="22"/>
          <w:lang w:val="en-US"/>
        </w:rPr>
        <w:t xml:space="preserve">In the past, legal advisers have advocated that there is no subsidy being applied for projects that involve a public education </w:t>
      </w:r>
      <w:proofErr w:type="spellStart"/>
      <w:r w:rsidRPr="00607562">
        <w:rPr>
          <w:rFonts w:asciiTheme="minorHAnsi" w:eastAsia="Calibri" w:hAnsiTheme="minorHAnsi" w:cstheme="minorHAnsi"/>
          <w:bCs/>
          <w:sz w:val="22"/>
          <w:szCs w:val="22"/>
          <w:lang w:val="en-US"/>
        </w:rPr>
        <w:t>organisation</w:t>
      </w:r>
      <w:proofErr w:type="spellEnd"/>
      <w:r w:rsidRPr="00607562">
        <w:rPr>
          <w:rFonts w:asciiTheme="minorHAnsi" w:eastAsia="Calibri" w:hAnsiTheme="minorHAnsi" w:cstheme="minorHAnsi"/>
          <w:bCs/>
          <w:sz w:val="22"/>
          <w:szCs w:val="22"/>
          <w:lang w:val="en-US"/>
        </w:rPr>
        <w:t xml:space="preserve"> within the national education system funded and supervised by the State. This conclusion is based on Section 2.5 of the Notion of State Aid, which </w:t>
      </w:r>
      <w:proofErr w:type="gramStart"/>
      <w:r w:rsidRPr="00607562">
        <w:rPr>
          <w:rFonts w:asciiTheme="minorHAnsi" w:eastAsia="Calibri" w:hAnsiTheme="minorHAnsi" w:cstheme="minorHAnsi"/>
          <w:bCs/>
          <w:sz w:val="22"/>
          <w:szCs w:val="22"/>
          <w:lang w:val="en-US"/>
        </w:rPr>
        <w:t>is considered to be</w:t>
      </w:r>
      <w:proofErr w:type="gramEnd"/>
      <w:r w:rsidRPr="00607562">
        <w:rPr>
          <w:rFonts w:asciiTheme="minorHAnsi" w:eastAsia="Calibri" w:hAnsiTheme="minorHAnsi" w:cstheme="minorHAnsi"/>
          <w:bCs/>
          <w:sz w:val="22"/>
          <w:szCs w:val="22"/>
          <w:lang w:val="en-US"/>
        </w:rPr>
        <w:t xml:space="preserve"> directly relevant to the definition of subsidy.  Whilst this may still be applicable, given the involvement of Dudley College, </w:t>
      </w:r>
      <w:r w:rsidR="00FD7A99">
        <w:rPr>
          <w:rFonts w:asciiTheme="minorHAnsi" w:eastAsia="Calibri" w:hAnsiTheme="minorHAnsi" w:cstheme="minorHAnsi"/>
          <w:bCs/>
          <w:sz w:val="22"/>
          <w:szCs w:val="22"/>
          <w:lang w:val="en-US"/>
        </w:rPr>
        <w:t xml:space="preserve">the </w:t>
      </w:r>
      <w:r w:rsidRPr="00607562">
        <w:rPr>
          <w:rFonts w:asciiTheme="minorHAnsi" w:eastAsia="Calibri" w:hAnsiTheme="minorHAnsi" w:cstheme="minorHAnsi"/>
          <w:bCs/>
          <w:sz w:val="22"/>
          <w:szCs w:val="22"/>
          <w:lang w:val="en-US"/>
        </w:rPr>
        <w:t>University of Worcester</w:t>
      </w:r>
      <w:r w:rsidR="00FD7A99">
        <w:rPr>
          <w:rFonts w:asciiTheme="minorHAnsi" w:eastAsia="Calibri" w:hAnsiTheme="minorHAnsi" w:cstheme="minorHAnsi"/>
          <w:bCs/>
          <w:sz w:val="22"/>
          <w:szCs w:val="22"/>
          <w:lang w:val="en-US"/>
        </w:rPr>
        <w:t xml:space="preserve"> is also a key delivery partner.  </w:t>
      </w:r>
      <w:r w:rsidRPr="00607562">
        <w:rPr>
          <w:rFonts w:asciiTheme="minorHAnsi" w:eastAsia="Calibri" w:hAnsiTheme="minorHAnsi" w:cstheme="minorHAnsi"/>
          <w:bCs/>
          <w:sz w:val="22"/>
          <w:szCs w:val="22"/>
          <w:lang w:val="en-US"/>
        </w:rPr>
        <w:t xml:space="preserve">Dudley Council will therefore be seeking specialist Legal Advice to accompany the submission of the business case. </w:t>
      </w:r>
    </w:p>
    <w:p w14:paraId="107155F6" w14:textId="77777777" w:rsidR="005919B7" w:rsidRPr="001A3C27" w:rsidRDefault="005919B7" w:rsidP="005919B7">
      <w:pPr>
        <w:pStyle w:val="ListParagraph"/>
        <w:rPr>
          <w:rFonts w:asciiTheme="minorHAnsi" w:eastAsia="Calibri" w:hAnsiTheme="minorHAnsi" w:cstheme="minorHAnsi"/>
          <w:b/>
          <w:sz w:val="22"/>
          <w:szCs w:val="22"/>
          <w:lang w:val="en-US"/>
        </w:rPr>
      </w:pPr>
    </w:p>
    <w:p w14:paraId="66FB7BBC" w14:textId="77777777" w:rsidR="005919B7" w:rsidRPr="00F57C2A" w:rsidRDefault="005919B7" w:rsidP="005919B7">
      <w:pPr>
        <w:pStyle w:val="Covertext"/>
        <w:numPr>
          <w:ilvl w:val="0"/>
          <w:numId w:val="8"/>
        </w:numPr>
        <w:spacing w:line="240" w:lineRule="auto"/>
        <w:jc w:val="both"/>
        <w:rPr>
          <w:rFonts w:asciiTheme="minorHAnsi" w:hAnsiTheme="minorHAnsi" w:cstheme="minorHAnsi"/>
          <w:bCs/>
          <w:color w:val="auto"/>
          <w:sz w:val="22"/>
          <w:szCs w:val="22"/>
          <w:lang w:val="en-US"/>
        </w:rPr>
      </w:pPr>
      <w:r w:rsidRPr="00F57C2A">
        <w:rPr>
          <w:rFonts w:asciiTheme="minorHAnsi" w:hAnsiTheme="minorHAnsi" w:cstheme="minorHAnsi"/>
          <w:b/>
          <w:color w:val="auto"/>
          <w:sz w:val="22"/>
          <w:szCs w:val="22"/>
          <w:lang w:val="en-US"/>
        </w:rPr>
        <w:t xml:space="preserve">Operational strategy: </w:t>
      </w:r>
      <w:r w:rsidRPr="00F57C2A">
        <w:rPr>
          <w:rFonts w:asciiTheme="minorHAnsi" w:hAnsiTheme="minorHAnsi" w:cstheme="minorHAnsi"/>
          <w:bCs/>
          <w:color w:val="auto"/>
          <w:sz w:val="22"/>
          <w:szCs w:val="22"/>
          <w:lang w:val="en-US"/>
        </w:rPr>
        <w:t xml:space="preserve">The new University Centre will be owned by Dudley MBC following the construction of the new build.  Dudley MBC intend to lease the building to Dudley College of Technology </w:t>
      </w:r>
      <w:r w:rsidRPr="00F07847">
        <w:rPr>
          <w:rFonts w:asciiTheme="minorHAnsi" w:hAnsiTheme="minorHAnsi" w:cstheme="minorHAnsi"/>
          <w:bCs/>
          <w:color w:val="auto"/>
          <w:sz w:val="22"/>
          <w:szCs w:val="22"/>
          <w:lang w:val="en-US"/>
        </w:rPr>
        <w:t>for a period of 5 years</w:t>
      </w:r>
      <w:r>
        <w:rPr>
          <w:rFonts w:asciiTheme="minorHAnsi" w:hAnsiTheme="minorHAnsi" w:cstheme="minorHAnsi"/>
          <w:bCs/>
          <w:color w:val="auto"/>
          <w:sz w:val="22"/>
          <w:szCs w:val="22"/>
          <w:lang w:val="en-US"/>
        </w:rPr>
        <w:t xml:space="preserve"> (in the first instance)</w:t>
      </w:r>
      <w:r w:rsidRPr="00F57C2A">
        <w:rPr>
          <w:rFonts w:asciiTheme="minorHAnsi" w:hAnsiTheme="minorHAnsi" w:cstheme="minorHAnsi"/>
          <w:bCs/>
          <w:color w:val="auto"/>
          <w:sz w:val="22"/>
          <w:szCs w:val="22"/>
          <w:lang w:val="en-US"/>
        </w:rPr>
        <w:t xml:space="preserve"> who will be responsible for the management and maintenance of the new educational facility.  A lease agreement between the two parties is currently in the process of being </w:t>
      </w:r>
      <w:proofErr w:type="spellStart"/>
      <w:r w:rsidRPr="00F57C2A">
        <w:rPr>
          <w:rFonts w:asciiTheme="minorHAnsi" w:hAnsiTheme="minorHAnsi" w:cstheme="minorHAnsi"/>
          <w:bCs/>
          <w:color w:val="auto"/>
          <w:sz w:val="22"/>
          <w:szCs w:val="22"/>
          <w:lang w:val="en-US"/>
        </w:rPr>
        <w:t>finalised</w:t>
      </w:r>
      <w:proofErr w:type="spellEnd"/>
      <w:r w:rsidRPr="00F57C2A">
        <w:rPr>
          <w:rFonts w:asciiTheme="minorHAnsi" w:hAnsiTheme="minorHAnsi" w:cstheme="minorHAnsi"/>
          <w:bCs/>
          <w:color w:val="auto"/>
          <w:sz w:val="22"/>
          <w:szCs w:val="22"/>
          <w:lang w:val="en-US"/>
        </w:rPr>
        <w:t>.  While Dudley College wil</w:t>
      </w:r>
      <w:r>
        <w:rPr>
          <w:rFonts w:asciiTheme="minorHAnsi" w:hAnsiTheme="minorHAnsi" w:cstheme="minorHAnsi"/>
          <w:bCs/>
          <w:color w:val="auto"/>
          <w:sz w:val="22"/>
          <w:szCs w:val="22"/>
          <w:lang w:val="en-US"/>
        </w:rPr>
        <w:t xml:space="preserve">l be responsible for the management of the new facility, the University of Worcester will be licensed to deliver the curriculum, assessment and certification within the new University Centre and all students will be </w:t>
      </w:r>
      <w:proofErr w:type="spellStart"/>
      <w:r>
        <w:rPr>
          <w:rFonts w:asciiTheme="minorHAnsi" w:hAnsiTheme="minorHAnsi" w:cstheme="minorHAnsi"/>
          <w:bCs/>
          <w:color w:val="auto"/>
          <w:sz w:val="22"/>
          <w:szCs w:val="22"/>
          <w:lang w:val="en-US"/>
        </w:rPr>
        <w:t>UoW</w:t>
      </w:r>
      <w:proofErr w:type="spellEnd"/>
      <w:r>
        <w:rPr>
          <w:rFonts w:asciiTheme="minorHAnsi" w:hAnsiTheme="minorHAnsi" w:cstheme="minorHAnsi"/>
          <w:bCs/>
          <w:color w:val="auto"/>
          <w:sz w:val="22"/>
          <w:szCs w:val="22"/>
          <w:lang w:val="en-US"/>
        </w:rPr>
        <w:t xml:space="preserve"> students and pay tuition fees directly to the University. A</w:t>
      </w:r>
      <w:r w:rsidRPr="00F57C2A">
        <w:rPr>
          <w:rFonts w:asciiTheme="minorHAnsi" w:hAnsiTheme="minorHAnsi" w:cstheme="minorHAnsi"/>
          <w:bCs/>
          <w:color w:val="auto"/>
          <w:sz w:val="22"/>
          <w:szCs w:val="22"/>
          <w:lang w:val="en-US"/>
        </w:rPr>
        <w:t xml:space="preserve"> further partnership contract </w:t>
      </w:r>
      <w:r>
        <w:rPr>
          <w:rFonts w:asciiTheme="minorHAnsi" w:hAnsiTheme="minorHAnsi" w:cstheme="minorHAnsi"/>
          <w:bCs/>
          <w:color w:val="auto"/>
          <w:sz w:val="22"/>
          <w:szCs w:val="22"/>
          <w:lang w:val="en-US"/>
        </w:rPr>
        <w:t xml:space="preserve">is therefore </w:t>
      </w:r>
      <w:r w:rsidRPr="00F57C2A">
        <w:rPr>
          <w:rFonts w:asciiTheme="minorHAnsi" w:hAnsiTheme="minorHAnsi" w:cstheme="minorHAnsi"/>
          <w:bCs/>
          <w:color w:val="auto"/>
          <w:sz w:val="22"/>
          <w:szCs w:val="22"/>
          <w:lang w:val="en-US"/>
        </w:rPr>
        <w:t>required between Dudley College of Technology and the University of Worcester</w:t>
      </w:r>
      <w:r>
        <w:rPr>
          <w:rFonts w:asciiTheme="minorHAnsi" w:hAnsiTheme="minorHAnsi" w:cstheme="minorHAnsi"/>
          <w:bCs/>
          <w:color w:val="auto"/>
          <w:sz w:val="22"/>
          <w:szCs w:val="22"/>
          <w:lang w:val="en-US"/>
        </w:rPr>
        <w:t xml:space="preserve">. At this stage, a Memorandum of Understanding is in place while the formal partnership agreement and details of the licensing arrangements are negotiated. </w:t>
      </w:r>
      <w:r w:rsidRPr="00F57C2A">
        <w:rPr>
          <w:rFonts w:asciiTheme="minorHAnsi" w:hAnsiTheme="minorHAnsi" w:cstheme="minorHAnsi"/>
          <w:bCs/>
          <w:color w:val="auto"/>
          <w:sz w:val="22"/>
          <w:szCs w:val="22"/>
          <w:lang w:val="en-US"/>
        </w:rPr>
        <w:t xml:space="preserve">The University will be responsible for paying the College for the delivery of the central services and lease of any specialist equipment.  At this stage it is envisaged that a flat annual fee will be provided based on forecast annual charges plus an administration fee paid quarterly in advance.  </w:t>
      </w:r>
    </w:p>
    <w:p w14:paraId="58C6C312" w14:textId="77777777" w:rsidR="005919B7" w:rsidRDefault="005919B7" w:rsidP="005919B7">
      <w:pPr>
        <w:pStyle w:val="Covertext"/>
        <w:numPr>
          <w:ilvl w:val="0"/>
          <w:numId w:val="8"/>
        </w:numPr>
        <w:spacing w:line="240" w:lineRule="auto"/>
        <w:jc w:val="both"/>
        <w:rPr>
          <w:rFonts w:asciiTheme="minorHAnsi" w:hAnsiTheme="minorHAnsi" w:cstheme="minorHAnsi"/>
          <w:bCs/>
          <w:color w:val="auto"/>
          <w:sz w:val="22"/>
          <w:szCs w:val="22"/>
          <w:lang w:val="en-US"/>
        </w:rPr>
      </w:pPr>
      <w:r>
        <w:rPr>
          <w:rFonts w:asciiTheme="minorHAnsi" w:hAnsiTheme="minorHAnsi" w:cstheme="minorHAnsi"/>
          <w:b/>
          <w:color w:val="auto"/>
          <w:sz w:val="22"/>
          <w:szCs w:val="22"/>
          <w:lang w:val="en-US"/>
        </w:rPr>
        <w:lastRenderedPageBreak/>
        <w:t xml:space="preserve">Public sector equality duty: </w:t>
      </w:r>
      <w:r w:rsidRPr="00D81CE1">
        <w:rPr>
          <w:rFonts w:asciiTheme="minorHAnsi" w:hAnsiTheme="minorHAnsi" w:cstheme="minorHAnsi"/>
          <w:bCs/>
          <w:color w:val="auto"/>
          <w:sz w:val="22"/>
          <w:szCs w:val="22"/>
          <w:lang w:val="en-US"/>
        </w:rPr>
        <w:t>An equality a</w:t>
      </w:r>
      <w:r>
        <w:rPr>
          <w:rFonts w:asciiTheme="minorHAnsi" w:hAnsiTheme="minorHAnsi" w:cstheme="minorHAnsi"/>
          <w:bCs/>
          <w:color w:val="auto"/>
          <w:sz w:val="22"/>
          <w:szCs w:val="22"/>
          <w:lang w:val="en-US"/>
        </w:rPr>
        <w:t xml:space="preserve">ssessment </w:t>
      </w:r>
      <w:r w:rsidRPr="00D81CE1">
        <w:rPr>
          <w:rFonts w:asciiTheme="minorHAnsi" w:hAnsiTheme="minorHAnsi" w:cstheme="minorHAnsi"/>
          <w:bCs/>
          <w:color w:val="auto"/>
          <w:sz w:val="22"/>
          <w:szCs w:val="22"/>
          <w:lang w:val="en-US"/>
        </w:rPr>
        <w:t xml:space="preserve">has been prepared and </w:t>
      </w:r>
      <w:r>
        <w:rPr>
          <w:rFonts w:asciiTheme="minorHAnsi" w:hAnsiTheme="minorHAnsi" w:cstheme="minorHAnsi"/>
          <w:bCs/>
          <w:color w:val="auto"/>
          <w:sz w:val="22"/>
          <w:szCs w:val="22"/>
          <w:lang w:val="en-US"/>
        </w:rPr>
        <w:t>will be appended to the Business Case</w:t>
      </w:r>
      <w:r w:rsidRPr="00D81CE1">
        <w:rPr>
          <w:rFonts w:asciiTheme="minorHAnsi" w:hAnsiTheme="minorHAnsi" w:cstheme="minorHAnsi"/>
          <w:bCs/>
          <w:color w:val="auto"/>
          <w:sz w:val="22"/>
          <w:szCs w:val="22"/>
          <w:lang w:val="en-US"/>
        </w:rPr>
        <w:t xml:space="preserve">. </w:t>
      </w:r>
      <w:r>
        <w:rPr>
          <w:rFonts w:asciiTheme="minorHAnsi" w:hAnsiTheme="minorHAnsi" w:cstheme="minorHAnsi"/>
          <w:bCs/>
          <w:color w:val="auto"/>
          <w:sz w:val="22"/>
          <w:szCs w:val="22"/>
          <w:lang w:val="en-US"/>
        </w:rPr>
        <w:t xml:space="preserve">HID </w:t>
      </w:r>
      <w:r w:rsidRPr="00D81CE1">
        <w:rPr>
          <w:rFonts w:asciiTheme="minorHAnsi" w:hAnsiTheme="minorHAnsi" w:cstheme="minorHAnsi"/>
          <w:bCs/>
          <w:color w:val="auto"/>
          <w:sz w:val="22"/>
          <w:szCs w:val="22"/>
          <w:lang w:val="en-US"/>
        </w:rPr>
        <w:t>will seek to introduce both quantitative and qualitative mechanisms to equality monitor the</w:t>
      </w:r>
      <w:r>
        <w:rPr>
          <w:rFonts w:asciiTheme="minorHAnsi" w:hAnsiTheme="minorHAnsi" w:cstheme="minorHAnsi"/>
          <w:bCs/>
          <w:color w:val="auto"/>
          <w:sz w:val="22"/>
          <w:szCs w:val="22"/>
          <w:lang w:val="en-US"/>
        </w:rPr>
        <w:t xml:space="preserve"> curriculum</w:t>
      </w:r>
      <w:r w:rsidRPr="00D81CE1">
        <w:rPr>
          <w:rFonts w:asciiTheme="minorHAnsi" w:hAnsiTheme="minorHAnsi" w:cstheme="minorHAnsi"/>
          <w:bCs/>
          <w:color w:val="auto"/>
          <w:sz w:val="22"/>
          <w:szCs w:val="22"/>
          <w:lang w:val="en-US"/>
        </w:rPr>
        <w:t xml:space="preserve"> reach</w:t>
      </w:r>
      <w:r>
        <w:rPr>
          <w:rFonts w:asciiTheme="minorHAnsi" w:hAnsiTheme="minorHAnsi" w:cstheme="minorHAnsi"/>
          <w:bCs/>
          <w:color w:val="auto"/>
          <w:sz w:val="22"/>
          <w:szCs w:val="22"/>
          <w:lang w:val="en-US"/>
        </w:rPr>
        <w:t>. P</w:t>
      </w:r>
      <w:r w:rsidRPr="00D81CE1">
        <w:rPr>
          <w:rFonts w:asciiTheme="minorHAnsi" w:hAnsiTheme="minorHAnsi" w:cstheme="minorHAnsi"/>
          <w:bCs/>
          <w:color w:val="auto"/>
          <w:sz w:val="22"/>
          <w:szCs w:val="22"/>
          <w:lang w:val="en-US"/>
        </w:rPr>
        <w:t>articular attention will be given to ensure that groups that share protected characteristics</w:t>
      </w:r>
      <w:r>
        <w:rPr>
          <w:rFonts w:asciiTheme="minorHAnsi" w:hAnsiTheme="minorHAnsi" w:cstheme="minorHAnsi"/>
          <w:bCs/>
          <w:color w:val="auto"/>
          <w:sz w:val="22"/>
          <w:szCs w:val="22"/>
          <w:lang w:val="en-US"/>
        </w:rPr>
        <w:t xml:space="preserve">, are </w:t>
      </w:r>
      <w:r w:rsidRPr="00D81CE1">
        <w:rPr>
          <w:rFonts w:asciiTheme="minorHAnsi" w:hAnsiTheme="minorHAnsi" w:cstheme="minorHAnsi"/>
          <w:bCs/>
          <w:color w:val="auto"/>
          <w:sz w:val="22"/>
          <w:szCs w:val="22"/>
          <w:lang w:val="en-US"/>
        </w:rPr>
        <w:t>under-represented and excluded from work, are given the appropriate level of additional support needed</w:t>
      </w:r>
      <w:r>
        <w:rPr>
          <w:rFonts w:asciiTheme="minorHAnsi" w:hAnsiTheme="minorHAnsi" w:cstheme="minorHAnsi"/>
          <w:bCs/>
          <w:color w:val="auto"/>
          <w:sz w:val="22"/>
          <w:szCs w:val="22"/>
          <w:lang w:val="en-US"/>
        </w:rPr>
        <w:t xml:space="preserve"> to help them access learning opportunities.</w:t>
      </w:r>
    </w:p>
    <w:p w14:paraId="5C367955" w14:textId="77777777" w:rsidR="005919B7" w:rsidRPr="00C93BB0" w:rsidRDefault="005919B7" w:rsidP="005919B7">
      <w:pPr>
        <w:pStyle w:val="ListParagraph"/>
        <w:numPr>
          <w:ilvl w:val="0"/>
          <w:numId w:val="8"/>
        </w:numPr>
        <w:jc w:val="both"/>
        <w:rPr>
          <w:rFonts w:asciiTheme="minorHAnsi" w:eastAsia="Calibri" w:hAnsiTheme="minorHAnsi" w:cstheme="minorHAnsi"/>
          <w:bCs/>
          <w:sz w:val="22"/>
          <w:szCs w:val="22"/>
          <w:lang w:val="en-US"/>
        </w:rPr>
      </w:pPr>
      <w:r w:rsidRPr="00D209ED">
        <w:rPr>
          <w:rFonts w:asciiTheme="minorHAnsi" w:hAnsiTheme="minorHAnsi" w:cstheme="minorHAnsi"/>
          <w:b/>
          <w:sz w:val="22"/>
          <w:szCs w:val="22"/>
          <w:lang w:val="en-US"/>
        </w:rPr>
        <w:t>Environmental Impact:</w:t>
      </w:r>
      <w:r w:rsidRPr="00D209ED">
        <w:rPr>
          <w:rFonts w:asciiTheme="minorHAnsi" w:hAnsiTheme="minorHAnsi" w:cstheme="minorHAnsi"/>
          <w:bCs/>
          <w:sz w:val="22"/>
          <w:szCs w:val="22"/>
          <w:lang w:val="en-US"/>
        </w:rPr>
        <w:t xml:space="preserve"> </w:t>
      </w:r>
      <w:r w:rsidRPr="00C93BB0">
        <w:rPr>
          <w:rFonts w:asciiTheme="minorHAnsi" w:hAnsiTheme="minorHAnsi" w:cstheme="minorHAnsi"/>
          <w:sz w:val="22"/>
          <w:szCs w:val="22"/>
        </w:rPr>
        <w:t>Health Innovation Dudley aims to be a low carbon Higher Education teaching facility which showcases the best in sustainable design techniques</w:t>
      </w:r>
      <w:r>
        <w:rPr>
          <w:rFonts w:asciiTheme="minorHAnsi" w:hAnsiTheme="minorHAnsi" w:cstheme="minorHAnsi"/>
          <w:sz w:val="22"/>
          <w:szCs w:val="22"/>
        </w:rPr>
        <w:t xml:space="preserve">, </w:t>
      </w:r>
      <w:r w:rsidRPr="00C93BB0">
        <w:rPr>
          <w:rFonts w:asciiTheme="minorHAnsi" w:hAnsiTheme="minorHAnsi" w:cstheme="minorHAnsi"/>
          <w:sz w:val="22"/>
          <w:szCs w:val="22"/>
        </w:rPr>
        <w:t xml:space="preserve">which have been at the forefront of discussions from the outset. Rather than apply a one-size-fits-all approach, the project </w:t>
      </w:r>
      <w:r>
        <w:rPr>
          <w:rFonts w:asciiTheme="minorHAnsi" w:hAnsiTheme="minorHAnsi" w:cstheme="minorHAnsi"/>
          <w:sz w:val="22"/>
          <w:szCs w:val="22"/>
        </w:rPr>
        <w:t xml:space="preserve">has </w:t>
      </w:r>
      <w:r w:rsidRPr="00C93BB0">
        <w:rPr>
          <w:rFonts w:asciiTheme="minorHAnsi" w:hAnsiTheme="minorHAnsi" w:cstheme="minorHAnsi"/>
          <w:sz w:val="22"/>
          <w:szCs w:val="22"/>
        </w:rPr>
        <w:t>develop</w:t>
      </w:r>
      <w:r>
        <w:rPr>
          <w:rFonts w:asciiTheme="minorHAnsi" w:hAnsiTheme="minorHAnsi" w:cstheme="minorHAnsi"/>
          <w:sz w:val="22"/>
          <w:szCs w:val="22"/>
        </w:rPr>
        <w:t xml:space="preserve">ed </w:t>
      </w:r>
      <w:r w:rsidRPr="00C93BB0">
        <w:rPr>
          <w:rFonts w:asciiTheme="minorHAnsi" w:hAnsiTheme="minorHAnsi" w:cstheme="minorHAnsi"/>
          <w:sz w:val="22"/>
          <w:szCs w:val="22"/>
        </w:rPr>
        <w:t>its own bespoke sustainability framework which places measurable performance outcomes at its core. This is based on the ‘One Planet Living’ framework and pulls together elements of several different sustainability standards including BREEAM, WELL, Design for Performance amongst others. Th</w:t>
      </w:r>
      <w:r>
        <w:rPr>
          <w:rFonts w:asciiTheme="minorHAnsi" w:hAnsiTheme="minorHAnsi" w:cstheme="minorHAnsi"/>
          <w:sz w:val="22"/>
          <w:szCs w:val="22"/>
        </w:rPr>
        <w:t xml:space="preserve">e framework includes </w:t>
      </w:r>
      <w:r w:rsidRPr="00C93BB0">
        <w:rPr>
          <w:rFonts w:asciiTheme="minorHAnsi" w:hAnsiTheme="minorHAnsi" w:cstheme="minorHAnsi"/>
          <w:sz w:val="22"/>
          <w:szCs w:val="22"/>
        </w:rPr>
        <w:t xml:space="preserve">targets </w:t>
      </w:r>
      <w:r>
        <w:rPr>
          <w:rFonts w:asciiTheme="minorHAnsi" w:hAnsiTheme="minorHAnsi" w:cstheme="minorHAnsi"/>
          <w:sz w:val="22"/>
          <w:szCs w:val="22"/>
        </w:rPr>
        <w:t xml:space="preserve">related to the following </w:t>
      </w:r>
      <w:r w:rsidRPr="00C93BB0">
        <w:rPr>
          <w:rFonts w:asciiTheme="minorHAnsi" w:hAnsiTheme="minorHAnsi" w:cstheme="minorHAnsi"/>
          <w:sz w:val="22"/>
          <w:szCs w:val="22"/>
        </w:rPr>
        <w:t xml:space="preserve">areas </w:t>
      </w:r>
      <w:r>
        <w:rPr>
          <w:rFonts w:asciiTheme="minorHAnsi" w:hAnsiTheme="minorHAnsi" w:cstheme="minorHAnsi"/>
          <w:sz w:val="22"/>
          <w:szCs w:val="22"/>
        </w:rPr>
        <w:t xml:space="preserve">- </w:t>
      </w:r>
      <w:r w:rsidRPr="00C93BB0">
        <w:rPr>
          <w:rFonts w:asciiTheme="minorHAnsi" w:hAnsiTheme="minorHAnsi" w:cstheme="minorHAnsi"/>
          <w:sz w:val="22"/>
          <w:szCs w:val="22"/>
        </w:rPr>
        <w:t>energy, construction, indoor environmental quality, water, energy, land and nature, pollution, material use, waste and transport. Robust performance targets have been set against each of these with clear responsibilities allocated throughout the project lifecycle</w:t>
      </w:r>
      <w:r>
        <w:rPr>
          <w:rFonts w:asciiTheme="minorHAnsi" w:hAnsiTheme="minorHAnsi" w:cstheme="minorHAnsi"/>
          <w:sz w:val="22"/>
          <w:szCs w:val="22"/>
        </w:rPr>
        <w:t>.</w:t>
      </w:r>
    </w:p>
    <w:p w14:paraId="30D98C05" w14:textId="77777777" w:rsidR="005919B7" w:rsidRDefault="005919B7" w:rsidP="005919B7">
      <w:pPr>
        <w:pStyle w:val="Heading2"/>
        <w:jc w:val="both"/>
        <w:rPr>
          <w:rStyle w:val="ClientTitle"/>
          <w:rFonts w:asciiTheme="minorHAnsi" w:hAnsiTheme="minorHAnsi" w:cstheme="minorHAnsi"/>
          <w:color w:val="0070C0"/>
        </w:rPr>
      </w:pPr>
    </w:p>
    <w:p w14:paraId="24DD6300" w14:textId="77777777" w:rsidR="005919B7" w:rsidRPr="00420F57" w:rsidRDefault="005919B7" w:rsidP="005919B7">
      <w:pPr>
        <w:pStyle w:val="Heading2"/>
        <w:jc w:val="both"/>
        <w:rPr>
          <w:rStyle w:val="ClientTitle"/>
          <w:rFonts w:asciiTheme="minorHAnsi" w:hAnsiTheme="minorHAnsi" w:cstheme="minorHAnsi"/>
          <w:color w:val="0070C0"/>
        </w:rPr>
      </w:pPr>
      <w:r w:rsidRPr="00420F57">
        <w:rPr>
          <w:rStyle w:val="ClientTitle"/>
          <w:rFonts w:asciiTheme="minorHAnsi" w:hAnsiTheme="minorHAnsi" w:cstheme="minorHAnsi"/>
          <w:color w:val="0070C0"/>
        </w:rPr>
        <w:t xml:space="preserve">Management Case Summary </w:t>
      </w:r>
    </w:p>
    <w:p w14:paraId="5C2BBFE7" w14:textId="77777777" w:rsidR="005919B7" w:rsidRPr="00420F57" w:rsidRDefault="005919B7" w:rsidP="005919B7">
      <w:pPr>
        <w:pStyle w:val="Heading2"/>
        <w:jc w:val="both"/>
        <w:rPr>
          <w:rStyle w:val="ClientTitle"/>
          <w:rFonts w:asciiTheme="minorHAnsi" w:hAnsiTheme="minorHAnsi" w:cstheme="minorHAnsi"/>
          <w:color w:val="871751"/>
        </w:rPr>
      </w:pPr>
      <w:r w:rsidRPr="00420F57">
        <w:rPr>
          <w:rStyle w:val="ClientTitle"/>
          <w:rFonts w:asciiTheme="minorHAnsi" w:hAnsiTheme="minorHAnsi" w:cstheme="minorHAnsi"/>
          <w:color w:val="871751"/>
        </w:rPr>
        <w:t xml:space="preserve">   </w:t>
      </w:r>
    </w:p>
    <w:p w14:paraId="156DF702" w14:textId="77777777" w:rsidR="005919B7" w:rsidRDefault="005919B7" w:rsidP="005919B7">
      <w:pPr>
        <w:jc w:val="both"/>
        <w:rPr>
          <w:rFonts w:asciiTheme="minorHAnsi" w:hAnsiTheme="minorHAnsi" w:cstheme="minorHAnsi"/>
        </w:rPr>
      </w:pPr>
      <w:r w:rsidRPr="00420F57">
        <w:rPr>
          <w:rFonts w:asciiTheme="minorHAnsi" w:hAnsiTheme="minorHAnsi" w:cstheme="minorHAnsi"/>
        </w:rPr>
        <w:t>Dudley Town Investment Board will retain overall strategic oversight for the</w:t>
      </w:r>
      <w:r>
        <w:rPr>
          <w:rFonts w:asciiTheme="minorHAnsi" w:hAnsiTheme="minorHAnsi" w:cstheme="minorHAnsi"/>
        </w:rPr>
        <w:t xml:space="preserve"> </w:t>
      </w:r>
      <w:r w:rsidRPr="00420F57">
        <w:rPr>
          <w:rFonts w:asciiTheme="minorHAnsi" w:hAnsiTheme="minorHAnsi" w:cstheme="minorHAnsi"/>
        </w:rPr>
        <w:t>management and delivery</w:t>
      </w:r>
      <w:r>
        <w:rPr>
          <w:rFonts w:asciiTheme="minorHAnsi" w:hAnsiTheme="minorHAnsi" w:cstheme="minorHAnsi"/>
        </w:rPr>
        <w:t xml:space="preserve"> </w:t>
      </w:r>
      <w:r w:rsidRPr="00420F57">
        <w:rPr>
          <w:rFonts w:asciiTheme="minorHAnsi" w:hAnsiTheme="minorHAnsi" w:cstheme="minorHAnsi"/>
        </w:rPr>
        <w:t xml:space="preserve">of </w:t>
      </w:r>
      <w:r>
        <w:rPr>
          <w:rFonts w:asciiTheme="minorHAnsi" w:hAnsiTheme="minorHAnsi" w:cstheme="minorHAnsi"/>
        </w:rPr>
        <w:t xml:space="preserve">the new </w:t>
      </w:r>
      <w:r w:rsidRPr="00420F57">
        <w:rPr>
          <w:rFonts w:asciiTheme="minorHAnsi" w:hAnsiTheme="minorHAnsi" w:cstheme="minorHAnsi"/>
        </w:rPr>
        <w:t>H</w:t>
      </w:r>
      <w:r>
        <w:rPr>
          <w:rFonts w:asciiTheme="minorHAnsi" w:hAnsiTheme="minorHAnsi" w:cstheme="minorHAnsi"/>
        </w:rPr>
        <w:t>ID building</w:t>
      </w:r>
      <w:r w:rsidRPr="00420F57">
        <w:rPr>
          <w:rFonts w:asciiTheme="minorHAnsi" w:hAnsiTheme="minorHAnsi" w:cstheme="minorHAnsi"/>
        </w:rPr>
        <w:t xml:space="preserve">, </w:t>
      </w:r>
      <w:r>
        <w:rPr>
          <w:rFonts w:asciiTheme="minorHAnsi" w:hAnsiTheme="minorHAnsi" w:cstheme="minorHAnsi"/>
        </w:rPr>
        <w:t xml:space="preserve">while Dudley MBC as the accountable body for the funding, will ensure that the Towns Fund expenditure is compliant with DLUHC guidelines.  </w:t>
      </w:r>
      <w:r w:rsidRPr="00420F57">
        <w:rPr>
          <w:rFonts w:asciiTheme="minorHAnsi" w:hAnsiTheme="minorHAnsi" w:cstheme="minorHAnsi"/>
        </w:rPr>
        <w:t>During the construction and operational phases, the project’s three key partners - Dudley MBC, Dudley College of Technology, and the University of Worcester - will ensure the successful delivery of the University Centre and high</w:t>
      </w:r>
      <w:r>
        <w:rPr>
          <w:rFonts w:asciiTheme="minorHAnsi" w:hAnsiTheme="minorHAnsi" w:cstheme="minorHAnsi"/>
        </w:rPr>
        <w:t>-</w:t>
      </w:r>
      <w:r w:rsidRPr="00420F57">
        <w:rPr>
          <w:rFonts w:asciiTheme="minorHAnsi" w:hAnsiTheme="minorHAnsi" w:cstheme="minorHAnsi"/>
        </w:rPr>
        <w:t xml:space="preserve">level skills provision for both Dudley residents and students further afield. These partners all have </w:t>
      </w:r>
      <w:r>
        <w:rPr>
          <w:rFonts w:asciiTheme="minorHAnsi" w:hAnsiTheme="minorHAnsi" w:cstheme="minorHAnsi"/>
        </w:rPr>
        <w:t xml:space="preserve">a strong track record and </w:t>
      </w:r>
      <w:r w:rsidRPr="00420F57">
        <w:rPr>
          <w:rFonts w:asciiTheme="minorHAnsi" w:hAnsiTheme="minorHAnsi" w:cstheme="minorHAnsi"/>
        </w:rPr>
        <w:t>experience of delivering large-scale capital build project</w:t>
      </w:r>
      <w:r>
        <w:rPr>
          <w:rFonts w:asciiTheme="minorHAnsi" w:hAnsiTheme="minorHAnsi" w:cstheme="minorHAnsi"/>
        </w:rPr>
        <w:t>s and delivering education and skills provision</w:t>
      </w:r>
      <w:r w:rsidRPr="00420F57">
        <w:rPr>
          <w:rFonts w:asciiTheme="minorHAnsi" w:hAnsiTheme="minorHAnsi" w:cstheme="minorHAnsi"/>
        </w:rPr>
        <w:t>.</w:t>
      </w:r>
    </w:p>
    <w:p w14:paraId="36A9C565" w14:textId="77777777" w:rsidR="005919B7" w:rsidRDefault="005919B7" w:rsidP="005919B7">
      <w:pPr>
        <w:jc w:val="both"/>
        <w:rPr>
          <w:rFonts w:asciiTheme="minorHAnsi" w:hAnsiTheme="minorHAnsi" w:cstheme="minorHAnsi"/>
        </w:rPr>
      </w:pPr>
    </w:p>
    <w:p w14:paraId="2A0679FA" w14:textId="77777777" w:rsidR="005919B7" w:rsidRDefault="005919B7" w:rsidP="005919B7">
      <w:pPr>
        <w:jc w:val="both"/>
        <w:rPr>
          <w:rFonts w:asciiTheme="minorHAnsi" w:hAnsiTheme="minorHAnsi" w:cstheme="minorHAnsi"/>
        </w:rPr>
      </w:pPr>
      <w:r>
        <w:rPr>
          <w:rFonts w:asciiTheme="minorHAnsi" w:hAnsiTheme="minorHAnsi" w:cstheme="minorHAnsi"/>
        </w:rPr>
        <w:t>The roles and responsibilities of the three main partners are set out below:</w:t>
      </w:r>
    </w:p>
    <w:p w14:paraId="55822DD5" w14:textId="77777777" w:rsidR="005919B7" w:rsidRPr="007A24A9" w:rsidRDefault="005919B7" w:rsidP="005919B7">
      <w:pPr>
        <w:pStyle w:val="Amionbullet1"/>
        <w:numPr>
          <w:ilvl w:val="0"/>
          <w:numId w:val="9"/>
        </w:numPr>
        <w:spacing w:line="240" w:lineRule="auto"/>
        <w:rPr>
          <w:rFonts w:asciiTheme="minorHAnsi" w:hAnsiTheme="minorHAnsi" w:cstheme="minorHAnsi"/>
        </w:rPr>
      </w:pPr>
      <w:r w:rsidRPr="007A24A9">
        <w:rPr>
          <w:rFonts w:asciiTheme="minorHAnsi" w:hAnsiTheme="minorHAnsi" w:cstheme="minorHAnsi"/>
        </w:rPr>
        <w:t xml:space="preserve">Dudley MBC: Will be the Accountable Body for the Towns Fund with responsibilities for -  administration of the capital funding; DLUHC claims; monitoring and evaluation; Business case development; Securing planning permission; Delivery of the new University Centre – including management of land assembly;  procurement of the IPI provider (and main contractor); demolition and land remediation; main building works; Connectivity and infrastructure works; and negotiation of the lease of the new University Centre to </w:t>
      </w:r>
      <w:proofErr w:type="spellStart"/>
      <w:r w:rsidRPr="007A24A9">
        <w:rPr>
          <w:rFonts w:asciiTheme="minorHAnsi" w:hAnsiTheme="minorHAnsi" w:cstheme="minorHAnsi"/>
        </w:rPr>
        <w:t>DCoT</w:t>
      </w:r>
      <w:proofErr w:type="spellEnd"/>
      <w:r w:rsidRPr="007A24A9">
        <w:rPr>
          <w:rFonts w:asciiTheme="minorHAnsi" w:hAnsiTheme="minorHAnsi" w:cstheme="minorHAnsi"/>
        </w:rPr>
        <w:t>.</w:t>
      </w:r>
    </w:p>
    <w:p w14:paraId="7E251F30" w14:textId="77777777" w:rsidR="005919B7" w:rsidRPr="007A24A9" w:rsidRDefault="005919B7" w:rsidP="005919B7">
      <w:pPr>
        <w:pStyle w:val="AmionBodyText"/>
        <w:numPr>
          <w:ilvl w:val="0"/>
          <w:numId w:val="9"/>
        </w:numPr>
        <w:spacing w:line="240" w:lineRule="auto"/>
        <w:rPr>
          <w:rFonts w:asciiTheme="minorHAnsi" w:hAnsiTheme="minorHAnsi" w:cstheme="minorHAnsi"/>
        </w:rPr>
      </w:pPr>
      <w:r w:rsidRPr="007A24A9">
        <w:rPr>
          <w:rFonts w:asciiTheme="minorHAnsi" w:hAnsiTheme="minorHAnsi" w:cstheme="minorHAnsi"/>
        </w:rPr>
        <w:t xml:space="preserve">Dudley College of Technology: Central management and maintenance of the new University Centre - security, reception, cleaning, administration, </w:t>
      </w:r>
      <w:proofErr w:type="gramStart"/>
      <w:r w:rsidRPr="007A24A9">
        <w:rPr>
          <w:rFonts w:asciiTheme="minorHAnsi" w:hAnsiTheme="minorHAnsi" w:cstheme="minorHAnsi"/>
        </w:rPr>
        <w:t>estates</w:t>
      </w:r>
      <w:proofErr w:type="gramEnd"/>
      <w:r w:rsidRPr="007A24A9">
        <w:rPr>
          <w:rFonts w:asciiTheme="minorHAnsi" w:hAnsiTheme="minorHAnsi" w:cstheme="minorHAnsi"/>
        </w:rPr>
        <w:t xml:space="preserve"> and IT infrastructure maintenance </w:t>
      </w:r>
    </w:p>
    <w:p w14:paraId="712A7A55" w14:textId="77777777" w:rsidR="005919B7" w:rsidRPr="007A24A9" w:rsidRDefault="005919B7" w:rsidP="005919B7">
      <w:pPr>
        <w:pStyle w:val="AmionBodyText"/>
        <w:numPr>
          <w:ilvl w:val="0"/>
          <w:numId w:val="9"/>
        </w:numPr>
        <w:spacing w:line="240" w:lineRule="auto"/>
        <w:rPr>
          <w:rFonts w:asciiTheme="minorHAnsi" w:hAnsiTheme="minorHAnsi" w:cstheme="minorHAnsi"/>
        </w:rPr>
      </w:pPr>
      <w:r w:rsidRPr="007A24A9">
        <w:rPr>
          <w:rFonts w:asciiTheme="minorHAnsi" w:hAnsiTheme="minorHAnsi" w:cstheme="minorHAnsi"/>
        </w:rPr>
        <w:t>University of Worcester: Operation of the University Centre – marketing and promotion; recruitment of students; management of community usage; collection of fees; monitoring and evaluation; d</w:t>
      </w:r>
      <w:proofErr w:type="spellStart"/>
      <w:r w:rsidRPr="007A24A9">
        <w:rPr>
          <w:rFonts w:asciiTheme="minorHAnsi" w:hAnsiTheme="minorHAnsi" w:cstheme="minorHAnsi"/>
          <w:lang w:val="en-GB"/>
        </w:rPr>
        <w:t>elivery</w:t>
      </w:r>
      <w:proofErr w:type="spellEnd"/>
      <w:r w:rsidRPr="007A24A9">
        <w:rPr>
          <w:rFonts w:asciiTheme="minorHAnsi" w:hAnsiTheme="minorHAnsi" w:cstheme="minorHAnsi"/>
          <w:lang w:val="en-GB"/>
        </w:rPr>
        <w:t xml:space="preserve"> of curriculum, </w:t>
      </w:r>
      <w:proofErr w:type="gramStart"/>
      <w:r w:rsidRPr="007A24A9">
        <w:rPr>
          <w:rFonts w:asciiTheme="minorHAnsi" w:hAnsiTheme="minorHAnsi" w:cstheme="minorHAnsi"/>
          <w:lang w:val="en-GB"/>
        </w:rPr>
        <w:t>assessment</w:t>
      </w:r>
      <w:proofErr w:type="gramEnd"/>
      <w:r w:rsidRPr="007A24A9">
        <w:rPr>
          <w:rFonts w:asciiTheme="minorHAnsi" w:hAnsiTheme="minorHAnsi" w:cstheme="minorHAnsi"/>
          <w:lang w:val="en-GB"/>
        </w:rPr>
        <w:t xml:space="preserve"> and certification</w:t>
      </w:r>
    </w:p>
    <w:p w14:paraId="05A3FF80" w14:textId="77777777" w:rsidR="005919B7" w:rsidRDefault="005919B7" w:rsidP="005919B7">
      <w:pPr>
        <w:jc w:val="both"/>
        <w:rPr>
          <w:rFonts w:asciiTheme="minorHAnsi" w:hAnsiTheme="minorHAnsi" w:cstheme="minorHAnsi"/>
        </w:rPr>
      </w:pPr>
    </w:p>
    <w:p w14:paraId="7F8D8546" w14:textId="77777777" w:rsidR="005919B7" w:rsidRPr="00420F57" w:rsidRDefault="005919B7" w:rsidP="005919B7">
      <w:pPr>
        <w:jc w:val="both"/>
        <w:rPr>
          <w:rFonts w:asciiTheme="minorHAnsi" w:hAnsiTheme="minorHAnsi" w:cstheme="minorHAnsi"/>
        </w:rPr>
      </w:pPr>
      <w:r w:rsidRPr="00420F57">
        <w:rPr>
          <w:rFonts w:asciiTheme="minorHAnsi" w:hAnsiTheme="minorHAnsi" w:cstheme="minorHAnsi"/>
          <w:bCs/>
          <w:color w:val="auto"/>
          <w:lang w:val="en-US"/>
        </w:rPr>
        <w:t xml:space="preserve">In partnership with Dudley College, DMBC will progress the delivery of the HID building using an insurance-backed alliance </w:t>
      </w:r>
      <w:r>
        <w:rPr>
          <w:rFonts w:asciiTheme="minorHAnsi" w:hAnsiTheme="minorHAnsi" w:cstheme="minorHAnsi"/>
          <w:bCs/>
          <w:color w:val="auto"/>
          <w:lang w:val="en-US"/>
        </w:rPr>
        <w:t xml:space="preserve">contract.  The </w:t>
      </w:r>
      <w:r w:rsidRPr="00420F57">
        <w:rPr>
          <w:rFonts w:asciiTheme="minorHAnsi" w:hAnsiTheme="minorHAnsi" w:cstheme="minorHAnsi"/>
        </w:rPr>
        <w:t>Council will procure an IPI</w:t>
      </w:r>
      <w:r>
        <w:rPr>
          <w:rFonts w:asciiTheme="minorHAnsi" w:hAnsiTheme="minorHAnsi" w:cstheme="minorHAnsi"/>
        </w:rPr>
        <w:t xml:space="preserve"> </w:t>
      </w:r>
      <w:r w:rsidRPr="00420F57">
        <w:rPr>
          <w:rFonts w:asciiTheme="minorHAnsi" w:hAnsiTheme="minorHAnsi" w:cstheme="minorHAnsi"/>
        </w:rPr>
        <w:t xml:space="preserve">provider who will project manage the construction of the new HE </w:t>
      </w:r>
      <w:proofErr w:type="gramStart"/>
      <w:r w:rsidRPr="00420F57">
        <w:rPr>
          <w:rFonts w:asciiTheme="minorHAnsi" w:hAnsiTheme="minorHAnsi" w:cstheme="minorHAnsi"/>
        </w:rPr>
        <w:t>centre</w:t>
      </w:r>
      <w:proofErr w:type="gramEnd"/>
      <w:r w:rsidRPr="00420F57">
        <w:rPr>
          <w:rFonts w:asciiTheme="minorHAnsi" w:hAnsiTheme="minorHAnsi" w:cstheme="minorHAnsi"/>
        </w:rPr>
        <w:t xml:space="preserve">. The main contractor, appointed through the IPI procurement process, will provide day to day oversight of the construction of the project. </w:t>
      </w:r>
      <w:r>
        <w:rPr>
          <w:rFonts w:asciiTheme="minorHAnsi" w:hAnsiTheme="minorHAnsi" w:cstheme="minorHAnsi"/>
        </w:rPr>
        <w:t xml:space="preserve">The </w:t>
      </w:r>
      <w:r w:rsidRPr="00420F57">
        <w:rPr>
          <w:rFonts w:asciiTheme="minorHAnsi" w:hAnsiTheme="minorHAnsi" w:cstheme="minorHAnsi"/>
        </w:rPr>
        <w:t>S</w:t>
      </w:r>
      <w:r>
        <w:rPr>
          <w:rFonts w:asciiTheme="minorHAnsi" w:hAnsiTheme="minorHAnsi" w:cstheme="minorHAnsi"/>
        </w:rPr>
        <w:t xml:space="preserve">enior Responsible Officer (SRO) at </w:t>
      </w:r>
      <w:r w:rsidRPr="00420F57">
        <w:rPr>
          <w:rFonts w:asciiTheme="minorHAnsi" w:hAnsiTheme="minorHAnsi" w:cstheme="minorHAnsi"/>
        </w:rPr>
        <w:t>Dudley</w:t>
      </w:r>
      <w:r>
        <w:rPr>
          <w:rFonts w:asciiTheme="minorHAnsi" w:hAnsiTheme="minorHAnsi" w:cstheme="minorHAnsi"/>
        </w:rPr>
        <w:t xml:space="preserve"> MBC</w:t>
      </w:r>
      <w:r w:rsidRPr="00420F57">
        <w:rPr>
          <w:rFonts w:asciiTheme="minorHAnsi" w:hAnsiTheme="minorHAnsi" w:cstheme="minorHAnsi"/>
        </w:rPr>
        <w:t xml:space="preserve"> will be responsible for overseeing the IPI provider and ultimately construction of the new University Centre</w:t>
      </w:r>
      <w:r>
        <w:rPr>
          <w:rFonts w:asciiTheme="minorHAnsi" w:hAnsiTheme="minorHAnsi" w:cstheme="minorHAnsi"/>
        </w:rPr>
        <w:t xml:space="preserve">. </w:t>
      </w:r>
      <w:r w:rsidRPr="00420F57">
        <w:rPr>
          <w:rFonts w:asciiTheme="minorHAnsi" w:hAnsiTheme="minorHAnsi" w:cstheme="minorHAnsi"/>
        </w:rPr>
        <w:t xml:space="preserve">The experience and competency of the project management team procured will be tested thoroughly through the procurement process to be </w:t>
      </w:r>
      <w:r w:rsidRPr="00420F57">
        <w:rPr>
          <w:rFonts w:asciiTheme="minorHAnsi" w:hAnsiTheme="minorHAnsi" w:cstheme="minorHAnsi"/>
        </w:rPr>
        <w:lastRenderedPageBreak/>
        <w:t xml:space="preserve">implemented by the Dudley </w:t>
      </w:r>
      <w:r>
        <w:rPr>
          <w:rFonts w:asciiTheme="minorHAnsi" w:hAnsiTheme="minorHAnsi" w:cstheme="minorHAnsi"/>
        </w:rPr>
        <w:t>MBC a</w:t>
      </w:r>
      <w:r w:rsidRPr="00420F57">
        <w:rPr>
          <w:rFonts w:asciiTheme="minorHAnsi" w:hAnsiTheme="minorHAnsi" w:cstheme="minorHAnsi"/>
        </w:rPr>
        <w:t>nd partner agencies</w:t>
      </w:r>
      <w:r>
        <w:rPr>
          <w:rFonts w:asciiTheme="minorHAnsi" w:hAnsiTheme="minorHAnsi" w:cstheme="minorHAnsi"/>
        </w:rPr>
        <w:t xml:space="preserve"> (</w:t>
      </w:r>
      <w:r w:rsidRPr="00420F57">
        <w:rPr>
          <w:rFonts w:asciiTheme="minorHAnsi" w:hAnsiTheme="minorHAnsi" w:cstheme="minorHAnsi"/>
        </w:rPr>
        <w:t>Dudley College and the University of Worcester</w:t>
      </w:r>
      <w:r>
        <w:rPr>
          <w:rFonts w:asciiTheme="minorHAnsi" w:hAnsiTheme="minorHAnsi" w:cstheme="minorHAnsi"/>
        </w:rPr>
        <w:t>)</w:t>
      </w:r>
      <w:r w:rsidRPr="00420F57">
        <w:rPr>
          <w:rFonts w:asciiTheme="minorHAnsi" w:hAnsiTheme="minorHAnsi" w:cstheme="minorHAnsi"/>
        </w:rPr>
        <w:t>.</w:t>
      </w:r>
    </w:p>
    <w:p w14:paraId="733EBBF9" w14:textId="77777777" w:rsidR="005919B7" w:rsidRPr="00420F57" w:rsidRDefault="005919B7" w:rsidP="005919B7">
      <w:pPr>
        <w:jc w:val="both"/>
        <w:rPr>
          <w:rFonts w:asciiTheme="minorHAnsi" w:hAnsiTheme="minorHAnsi" w:cstheme="minorHAnsi"/>
        </w:rPr>
      </w:pPr>
    </w:p>
    <w:p w14:paraId="48BE2EE0" w14:textId="77777777" w:rsidR="005919B7" w:rsidRDefault="005919B7" w:rsidP="005919B7">
      <w:pPr>
        <w:jc w:val="both"/>
        <w:rPr>
          <w:rFonts w:asciiTheme="minorHAnsi" w:hAnsiTheme="minorHAnsi" w:cstheme="minorHAnsi"/>
        </w:rPr>
      </w:pPr>
      <w:r>
        <w:rPr>
          <w:rFonts w:asciiTheme="minorHAnsi" w:hAnsiTheme="minorHAnsi" w:cstheme="minorHAnsi"/>
        </w:rPr>
        <w:t>To guide the development and delivery of the new University Centre a series of plans have been drawn up by Dudley MBC in conjunction with partners.  These include:</w:t>
      </w:r>
    </w:p>
    <w:p w14:paraId="4319251C" w14:textId="77777777" w:rsidR="005919B7" w:rsidRDefault="005919B7" w:rsidP="005919B7">
      <w:pPr>
        <w:jc w:val="both"/>
        <w:rPr>
          <w:rFonts w:asciiTheme="minorHAnsi" w:hAnsiTheme="minorHAnsi" w:cstheme="minorHAnsi"/>
        </w:rPr>
      </w:pPr>
    </w:p>
    <w:p w14:paraId="36B185EE" w14:textId="77777777" w:rsidR="005919B7" w:rsidRPr="00771843" w:rsidRDefault="005919B7" w:rsidP="005919B7">
      <w:pPr>
        <w:pStyle w:val="ListParagraph"/>
        <w:numPr>
          <w:ilvl w:val="0"/>
          <w:numId w:val="13"/>
        </w:numPr>
        <w:jc w:val="both"/>
        <w:rPr>
          <w:rFonts w:asciiTheme="minorHAnsi" w:hAnsiTheme="minorHAnsi" w:cstheme="minorHAnsi"/>
          <w:sz w:val="22"/>
          <w:szCs w:val="22"/>
        </w:rPr>
      </w:pPr>
      <w:r w:rsidRPr="00771843">
        <w:rPr>
          <w:rFonts w:asciiTheme="minorHAnsi" w:hAnsiTheme="minorHAnsi" w:cstheme="minorHAnsi"/>
          <w:sz w:val="22"/>
          <w:szCs w:val="22"/>
        </w:rPr>
        <w:t>a high</w:t>
      </w:r>
      <w:r>
        <w:rPr>
          <w:rFonts w:asciiTheme="minorHAnsi" w:hAnsiTheme="minorHAnsi" w:cstheme="minorHAnsi"/>
          <w:sz w:val="22"/>
          <w:szCs w:val="22"/>
        </w:rPr>
        <w:t>-</w:t>
      </w:r>
      <w:r w:rsidRPr="00771843">
        <w:rPr>
          <w:rFonts w:asciiTheme="minorHAnsi" w:hAnsiTheme="minorHAnsi" w:cstheme="minorHAnsi"/>
          <w:sz w:val="22"/>
          <w:szCs w:val="22"/>
        </w:rPr>
        <w:t>level project delivery plan - which sets out a timeline for the capital build programme, principal workstreams and key decision points, and provides a summary of key milestones</w:t>
      </w:r>
    </w:p>
    <w:p w14:paraId="536BBE5F" w14:textId="77777777" w:rsidR="005919B7" w:rsidRPr="00771843" w:rsidRDefault="005919B7" w:rsidP="005919B7">
      <w:pPr>
        <w:pStyle w:val="ListParagraph"/>
        <w:numPr>
          <w:ilvl w:val="0"/>
          <w:numId w:val="13"/>
        </w:numPr>
        <w:jc w:val="both"/>
        <w:rPr>
          <w:rFonts w:asciiTheme="minorHAnsi" w:hAnsiTheme="minorHAnsi" w:cstheme="minorHAnsi"/>
          <w:sz w:val="22"/>
          <w:szCs w:val="22"/>
        </w:rPr>
      </w:pPr>
      <w:r w:rsidRPr="00771843">
        <w:rPr>
          <w:rFonts w:asciiTheme="minorHAnsi" w:hAnsiTheme="minorHAnsi" w:cstheme="minorHAnsi"/>
          <w:sz w:val="22"/>
          <w:szCs w:val="22"/>
        </w:rPr>
        <w:t>a detailed risk register – covering the design, procurement, land acquisition and construction phases; followed by risks for the operational phase</w:t>
      </w:r>
    </w:p>
    <w:p w14:paraId="67732437" w14:textId="77777777" w:rsidR="005919B7" w:rsidRPr="00771843" w:rsidRDefault="005919B7" w:rsidP="005919B7">
      <w:pPr>
        <w:pStyle w:val="ListParagraph"/>
        <w:numPr>
          <w:ilvl w:val="0"/>
          <w:numId w:val="13"/>
        </w:numPr>
        <w:jc w:val="both"/>
        <w:rPr>
          <w:rFonts w:asciiTheme="minorHAnsi" w:hAnsiTheme="minorHAnsi" w:cstheme="minorHAnsi"/>
          <w:sz w:val="22"/>
          <w:szCs w:val="22"/>
        </w:rPr>
      </w:pPr>
      <w:r w:rsidRPr="00771843">
        <w:rPr>
          <w:rFonts w:asciiTheme="minorHAnsi" w:hAnsiTheme="minorHAnsi" w:cstheme="minorHAnsi"/>
          <w:sz w:val="22"/>
          <w:szCs w:val="22"/>
        </w:rPr>
        <w:t xml:space="preserve">a communications plan </w:t>
      </w:r>
      <w:r>
        <w:rPr>
          <w:rFonts w:asciiTheme="minorHAnsi" w:hAnsiTheme="minorHAnsi" w:cstheme="minorHAnsi"/>
          <w:sz w:val="22"/>
          <w:szCs w:val="22"/>
        </w:rPr>
        <w:t>–</w:t>
      </w:r>
      <w:r w:rsidRPr="00771843">
        <w:rPr>
          <w:rFonts w:asciiTheme="minorHAnsi" w:hAnsiTheme="minorHAnsi" w:cstheme="minorHAnsi"/>
          <w:sz w:val="22"/>
          <w:szCs w:val="22"/>
        </w:rPr>
        <w:t xml:space="preserve"> </w:t>
      </w:r>
      <w:r>
        <w:rPr>
          <w:rFonts w:asciiTheme="minorHAnsi" w:hAnsiTheme="minorHAnsi" w:cstheme="minorHAnsi"/>
          <w:sz w:val="22"/>
          <w:szCs w:val="22"/>
        </w:rPr>
        <w:t xml:space="preserve">which describes the steps that will be taken to engage the local community and businesses in the design of the new University </w:t>
      </w:r>
      <w:proofErr w:type="gramStart"/>
      <w:r>
        <w:rPr>
          <w:rFonts w:asciiTheme="minorHAnsi" w:hAnsiTheme="minorHAnsi" w:cstheme="minorHAnsi"/>
          <w:sz w:val="22"/>
          <w:szCs w:val="22"/>
        </w:rPr>
        <w:t>Centre;</w:t>
      </w:r>
      <w:proofErr w:type="gramEnd"/>
      <w:r>
        <w:rPr>
          <w:rFonts w:asciiTheme="minorHAnsi" w:hAnsiTheme="minorHAnsi" w:cstheme="minorHAnsi"/>
          <w:sz w:val="22"/>
          <w:szCs w:val="22"/>
        </w:rPr>
        <w:t xml:space="preserve"> and the plans for marketing, promotion and recruitment of students </w:t>
      </w:r>
    </w:p>
    <w:p w14:paraId="47414CCA" w14:textId="77777777" w:rsidR="005919B7" w:rsidRDefault="005919B7" w:rsidP="005919B7">
      <w:pPr>
        <w:jc w:val="both"/>
        <w:rPr>
          <w:rFonts w:asciiTheme="minorHAnsi" w:hAnsiTheme="minorHAnsi" w:cstheme="minorHAnsi"/>
          <w:highlight w:val="yellow"/>
        </w:rPr>
      </w:pPr>
    </w:p>
    <w:p w14:paraId="2F2BB00F" w14:textId="4A5DAAC3" w:rsidR="005919B7" w:rsidRDefault="005919B7" w:rsidP="005919B7">
      <w:pPr>
        <w:jc w:val="both"/>
        <w:rPr>
          <w:rFonts w:asciiTheme="minorHAnsi" w:hAnsiTheme="minorHAnsi" w:cstheme="minorHAnsi"/>
        </w:rPr>
      </w:pPr>
      <w:r w:rsidRPr="00045F8A">
        <w:rPr>
          <w:rFonts w:asciiTheme="minorHAnsi" w:hAnsiTheme="minorHAnsi" w:cstheme="minorHAnsi"/>
        </w:rPr>
        <w:t xml:space="preserve">Prior to the opening and launch of the new University Centre, a new Strategic Board will be established with representatives from </w:t>
      </w:r>
      <w:proofErr w:type="spellStart"/>
      <w:r w:rsidRPr="00045F8A">
        <w:rPr>
          <w:rFonts w:asciiTheme="minorHAnsi" w:hAnsiTheme="minorHAnsi" w:cstheme="minorHAnsi"/>
        </w:rPr>
        <w:t>DCoT</w:t>
      </w:r>
      <w:proofErr w:type="spellEnd"/>
      <w:r w:rsidRPr="00045F8A">
        <w:rPr>
          <w:rFonts w:asciiTheme="minorHAnsi" w:hAnsiTheme="minorHAnsi" w:cstheme="minorHAnsi"/>
        </w:rPr>
        <w:t xml:space="preserve">; </w:t>
      </w:r>
      <w:proofErr w:type="spellStart"/>
      <w:r w:rsidRPr="00045F8A">
        <w:rPr>
          <w:rFonts w:asciiTheme="minorHAnsi" w:hAnsiTheme="minorHAnsi" w:cstheme="minorHAnsi"/>
        </w:rPr>
        <w:t>UoW</w:t>
      </w:r>
      <w:proofErr w:type="spellEnd"/>
      <w:r w:rsidRPr="00045F8A">
        <w:rPr>
          <w:rFonts w:asciiTheme="minorHAnsi" w:hAnsiTheme="minorHAnsi" w:cstheme="minorHAnsi"/>
        </w:rPr>
        <w:t xml:space="preserve">; Dudley MBC; Chair of the Towns Fund Board; </w:t>
      </w:r>
      <w:proofErr w:type="spellStart"/>
      <w:r w:rsidRPr="00045F8A">
        <w:rPr>
          <w:rFonts w:asciiTheme="minorHAnsi" w:hAnsiTheme="minorHAnsi" w:cstheme="minorHAnsi"/>
        </w:rPr>
        <w:t>IoTT</w:t>
      </w:r>
      <w:proofErr w:type="spellEnd"/>
      <w:r w:rsidR="00DB2438">
        <w:rPr>
          <w:rFonts w:asciiTheme="minorHAnsi" w:hAnsiTheme="minorHAnsi" w:cstheme="minorHAnsi"/>
        </w:rPr>
        <w:t xml:space="preserve"> and </w:t>
      </w:r>
      <w:r>
        <w:rPr>
          <w:rFonts w:asciiTheme="minorHAnsi" w:hAnsiTheme="minorHAnsi" w:cstheme="minorHAnsi"/>
          <w:highlight w:val="yellow"/>
        </w:rPr>
        <w:t xml:space="preserve"> </w:t>
      </w:r>
      <w:r w:rsidRPr="00DB2438">
        <w:rPr>
          <w:rFonts w:asciiTheme="minorHAnsi" w:hAnsiTheme="minorHAnsi" w:cstheme="minorHAnsi"/>
        </w:rPr>
        <w:t>potentially CCG; LEP/WMCA; and the VCSE sector subject to funding agreements.</w:t>
      </w:r>
      <w:r w:rsidRPr="00045F8A">
        <w:rPr>
          <w:rFonts w:asciiTheme="minorHAnsi" w:hAnsiTheme="minorHAnsi" w:cstheme="minorHAnsi"/>
        </w:rPr>
        <w:t xml:space="preserve">  This board will primarily be responsible for strategic oversight and governance, to ensure that activities delivered by the new University Centre are in line with the objectives set at the start of the project and the ambitions of the wider University Park.  The day-to- day operation of the new centre, will be managed jointly by </w:t>
      </w:r>
      <w:proofErr w:type="spellStart"/>
      <w:r w:rsidRPr="00045F8A">
        <w:rPr>
          <w:rFonts w:asciiTheme="minorHAnsi" w:hAnsiTheme="minorHAnsi" w:cstheme="minorHAnsi"/>
        </w:rPr>
        <w:t>DCoT</w:t>
      </w:r>
      <w:proofErr w:type="spellEnd"/>
      <w:r w:rsidRPr="00045F8A">
        <w:rPr>
          <w:rFonts w:asciiTheme="minorHAnsi" w:hAnsiTheme="minorHAnsi" w:cstheme="minorHAnsi"/>
        </w:rPr>
        <w:t xml:space="preserve"> and the </w:t>
      </w:r>
      <w:proofErr w:type="spellStart"/>
      <w:r w:rsidRPr="00045F8A">
        <w:rPr>
          <w:rFonts w:asciiTheme="minorHAnsi" w:hAnsiTheme="minorHAnsi" w:cstheme="minorHAnsi"/>
        </w:rPr>
        <w:t>UoW</w:t>
      </w:r>
      <w:proofErr w:type="spellEnd"/>
      <w:r w:rsidRPr="00045F8A">
        <w:rPr>
          <w:rFonts w:asciiTheme="minorHAnsi" w:hAnsiTheme="minorHAnsi" w:cstheme="minorHAnsi"/>
        </w:rPr>
        <w:t xml:space="preserve">.  </w:t>
      </w:r>
    </w:p>
    <w:p w14:paraId="3A0DFEA6" w14:textId="77777777" w:rsidR="005919B7" w:rsidRPr="00420F57" w:rsidRDefault="005919B7" w:rsidP="005919B7">
      <w:pPr>
        <w:jc w:val="both"/>
        <w:rPr>
          <w:rFonts w:asciiTheme="minorHAnsi" w:hAnsiTheme="minorHAnsi" w:cstheme="minorHAnsi"/>
        </w:rPr>
      </w:pPr>
    </w:p>
    <w:p w14:paraId="45EEFFEB" w14:textId="77777777" w:rsidR="005919B7" w:rsidRDefault="005919B7" w:rsidP="005919B7">
      <w:pPr>
        <w:jc w:val="both"/>
        <w:rPr>
          <w:rFonts w:asciiTheme="minorHAnsi" w:hAnsiTheme="minorHAnsi" w:cstheme="minorHAnsi"/>
        </w:rPr>
      </w:pPr>
      <w:r w:rsidRPr="00420F57">
        <w:rPr>
          <w:rFonts w:asciiTheme="minorHAnsi" w:hAnsiTheme="minorHAnsi" w:cstheme="minorHAnsi"/>
        </w:rPr>
        <w:t xml:space="preserve">The Dudley Town Deal Project will adhere to the requirements of the ‘Towns Fund Monitoring and Evaluation Guidance’ (April 2021) which clearly identifies the different responsibilities for both Performance Monitoring and Evaluation. </w:t>
      </w:r>
      <w:r>
        <w:rPr>
          <w:rFonts w:asciiTheme="minorHAnsi" w:hAnsiTheme="minorHAnsi" w:cstheme="minorHAnsi"/>
        </w:rPr>
        <w:t xml:space="preserve">The </w:t>
      </w:r>
      <w:r w:rsidRPr="00420F57">
        <w:rPr>
          <w:rFonts w:asciiTheme="minorHAnsi" w:hAnsiTheme="minorHAnsi" w:cstheme="minorHAnsi"/>
        </w:rPr>
        <w:t xml:space="preserve">new Programme Management Office (PMO) within </w:t>
      </w:r>
      <w:r>
        <w:rPr>
          <w:rFonts w:asciiTheme="minorHAnsi" w:hAnsiTheme="minorHAnsi" w:cstheme="minorHAnsi"/>
        </w:rPr>
        <w:t xml:space="preserve">Dudley MBC, </w:t>
      </w:r>
      <w:r w:rsidRPr="00420F57">
        <w:rPr>
          <w:rFonts w:asciiTheme="minorHAnsi" w:hAnsiTheme="minorHAnsi" w:cstheme="minorHAnsi"/>
        </w:rPr>
        <w:t>overseen by the Head of Projects and Delivery</w:t>
      </w:r>
      <w:r>
        <w:rPr>
          <w:rFonts w:asciiTheme="minorHAnsi" w:hAnsiTheme="minorHAnsi" w:cstheme="minorHAnsi"/>
        </w:rPr>
        <w:t>,</w:t>
      </w:r>
      <w:r w:rsidRPr="00420F57">
        <w:rPr>
          <w:rFonts w:asciiTheme="minorHAnsi" w:hAnsiTheme="minorHAnsi" w:cstheme="minorHAnsi"/>
        </w:rPr>
        <w:t xml:space="preserve"> </w:t>
      </w:r>
      <w:r>
        <w:rPr>
          <w:rFonts w:asciiTheme="minorHAnsi" w:hAnsiTheme="minorHAnsi" w:cstheme="minorHAnsi"/>
        </w:rPr>
        <w:t xml:space="preserve">will be </w:t>
      </w:r>
      <w:r w:rsidRPr="00420F57">
        <w:rPr>
          <w:rFonts w:asciiTheme="minorHAnsi" w:hAnsiTheme="minorHAnsi" w:cstheme="minorHAnsi"/>
        </w:rPr>
        <w:t>responsible for all pro</w:t>
      </w:r>
      <w:r>
        <w:rPr>
          <w:rFonts w:asciiTheme="minorHAnsi" w:hAnsiTheme="minorHAnsi" w:cstheme="minorHAnsi"/>
        </w:rPr>
        <w:t xml:space="preserve">ject </w:t>
      </w:r>
      <w:r w:rsidRPr="00420F57">
        <w:rPr>
          <w:rFonts w:asciiTheme="minorHAnsi" w:hAnsiTheme="minorHAnsi" w:cstheme="minorHAnsi"/>
        </w:rPr>
        <w:t>management</w:t>
      </w:r>
      <w:r>
        <w:rPr>
          <w:rFonts w:asciiTheme="minorHAnsi" w:hAnsiTheme="minorHAnsi" w:cstheme="minorHAnsi"/>
        </w:rPr>
        <w:t xml:space="preserve">, </w:t>
      </w:r>
      <w:r w:rsidRPr="00420F57">
        <w:rPr>
          <w:rFonts w:asciiTheme="minorHAnsi" w:hAnsiTheme="minorHAnsi" w:cstheme="minorHAnsi"/>
        </w:rPr>
        <w:t>monitoring, claims and evaluation activities</w:t>
      </w:r>
      <w:r>
        <w:rPr>
          <w:rFonts w:asciiTheme="minorHAnsi" w:hAnsiTheme="minorHAnsi" w:cstheme="minorHAnsi"/>
        </w:rPr>
        <w:t>; and reporting on the achievement of the following key outputs and outcomes:</w:t>
      </w:r>
    </w:p>
    <w:p w14:paraId="7CDCBD7F" w14:textId="77777777" w:rsidR="005919B7" w:rsidRDefault="005919B7" w:rsidP="005919B7">
      <w:pPr>
        <w:jc w:val="both"/>
        <w:rPr>
          <w:rFonts w:asciiTheme="minorHAnsi" w:hAnsiTheme="minorHAnsi" w:cstheme="minorHAnsi"/>
        </w:rPr>
      </w:pPr>
    </w:p>
    <w:p w14:paraId="3B5EBD41" w14:textId="77777777" w:rsidR="005919B7" w:rsidRPr="00420F57" w:rsidRDefault="005919B7" w:rsidP="005919B7">
      <w:pPr>
        <w:spacing w:after="240"/>
        <w:jc w:val="both"/>
        <w:rPr>
          <w:rFonts w:asciiTheme="minorHAnsi" w:eastAsia="Calibri" w:hAnsiTheme="minorHAnsi" w:cstheme="minorHAnsi"/>
          <w:b/>
          <w:bCs/>
          <w:color w:val="auto"/>
          <w:lang w:val="en-US"/>
        </w:rPr>
      </w:pPr>
      <w:r w:rsidRPr="00420F57">
        <w:rPr>
          <w:rFonts w:asciiTheme="minorHAnsi" w:eastAsia="Calibri" w:hAnsiTheme="minorHAnsi" w:cstheme="minorHAnsi"/>
          <w:b/>
          <w:bCs/>
          <w:color w:val="auto"/>
          <w:lang w:val="en-US"/>
        </w:rPr>
        <w:t xml:space="preserve">ES Table </w:t>
      </w:r>
      <w:r>
        <w:rPr>
          <w:rFonts w:asciiTheme="minorHAnsi" w:eastAsia="Calibri" w:hAnsiTheme="minorHAnsi" w:cstheme="minorHAnsi"/>
          <w:b/>
          <w:bCs/>
          <w:color w:val="auto"/>
          <w:lang w:val="en-US"/>
        </w:rPr>
        <w:t>4</w:t>
      </w:r>
      <w:r w:rsidRPr="00420F57">
        <w:rPr>
          <w:rFonts w:asciiTheme="minorHAnsi" w:eastAsia="Calibri" w:hAnsiTheme="minorHAnsi" w:cstheme="minorHAnsi"/>
          <w:b/>
          <w:bCs/>
          <w:color w:val="auto"/>
          <w:lang w:val="en-US"/>
        </w:rPr>
        <w:t xml:space="preserve">: </w:t>
      </w:r>
      <w:r>
        <w:rPr>
          <w:rFonts w:asciiTheme="minorHAnsi" w:eastAsia="Calibri" w:hAnsiTheme="minorHAnsi" w:cstheme="minorHAnsi"/>
          <w:b/>
          <w:bCs/>
          <w:color w:val="auto"/>
          <w:lang w:val="en-US"/>
        </w:rPr>
        <w:t>Project-specific outputs and outcomes</w:t>
      </w:r>
    </w:p>
    <w:tbl>
      <w:tblPr>
        <w:tblStyle w:val="TableGrid"/>
        <w:tblW w:w="9062" w:type="dxa"/>
        <w:tblInd w:w="-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41"/>
        <w:gridCol w:w="1152"/>
        <w:gridCol w:w="1843"/>
        <w:gridCol w:w="2126"/>
      </w:tblGrid>
      <w:tr w:rsidR="00FD7A99" w14:paraId="610BE81D" w14:textId="77777777" w:rsidTr="00FD7A99">
        <w:trPr>
          <w:trHeight w:val="318"/>
        </w:trPr>
        <w:tc>
          <w:tcPr>
            <w:tcW w:w="3941" w:type="dxa"/>
            <w:shd w:val="clear" w:color="auto" w:fill="D9D9D9" w:themeFill="background1" w:themeFillShade="D9"/>
            <w:hideMark/>
          </w:tcPr>
          <w:p w14:paraId="3C8F33DD" w14:textId="77777777" w:rsidR="005919B7" w:rsidRDefault="005919B7" w:rsidP="001032F0">
            <w:pPr>
              <w:tabs>
                <w:tab w:val="left" w:pos="1460"/>
              </w:tabs>
              <w:spacing w:before="40" w:after="40"/>
              <w:jc w:val="both"/>
              <w:rPr>
                <w:rFonts w:asciiTheme="minorHAnsi" w:hAnsiTheme="minorHAnsi" w:cstheme="minorHAnsi"/>
                <w:b/>
                <w:bCs/>
                <w:szCs w:val="20"/>
              </w:rPr>
            </w:pPr>
            <w:bookmarkStart w:id="1" w:name="_Hlk83202121"/>
            <w:r>
              <w:rPr>
                <w:rFonts w:asciiTheme="minorHAnsi" w:hAnsiTheme="minorHAnsi" w:cstheme="minorHAnsi"/>
                <w:b/>
                <w:bCs/>
                <w:szCs w:val="20"/>
              </w:rPr>
              <w:t xml:space="preserve">Key Performance Indicators  </w:t>
            </w:r>
          </w:p>
        </w:tc>
        <w:tc>
          <w:tcPr>
            <w:tcW w:w="1152" w:type="dxa"/>
            <w:shd w:val="clear" w:color="auto" w:fill="D9D9D9" w:themeFill="background1" w:themeFillShade="D9"/>
            <w:hideMark/>
          </w:tcPr>
          <w:p w14:paraId="5CC5898A" w14:textId="77777777" w:rsidR="005919B7" w:rsidRDefault="005919B7" w:rsidP="001032F0">
            <w:pPr>
              <w:spacing w:before="40" w:after="40"/>
              <w:jc w:val="center"/>
              <w:rPr>
                <w:rFonts w:asciiTheme="minorHAnsi" w:hAnsiTheme="minorHAnsi" w:cstheme="minorHAnsi"/>
                <w:b/>
                <w:bCs/>
                <w:szCs w:val="20"/>
              </w:rPr>
            </w:pPr>
            <w:r>
              <w:rPr>
                <w:rFonts w:asciiTheme="minorHAnsi" w:hAnsiTheme="minorHAnsi" w:cstheme="minorHAnsi"/>
                <w:b/>
                <w:bCs/>
                <w:szCs w:val="20"/>
              </w:rPr>
              <w:t xml:space="preserve">Outputs </w:t>
            </w:r>
          </w:p>
        </w:tc>
        <w:tc>
          <w:tcPr>
            <w:tcW w:w="1843" w:type="dxa"/>
            <w:shd w:val="clear" w:color="auto" w:fill="D9D9D9" w:themeFill="background1" w:themeFillShade="D9"/>
            <w:hideMark/>
          </w:tcPr>
          <w:p w14:paraId="213A4E53" w14:textId="77777777" w:rsidR="005919B7" w:rsidRDefault="005919B7" w:rsidP="001032F0">
            <w:pPr>
              <w:spacing w:before="40" w:after="40"/>
              <w:jc w:val="center"/>
              <w:rPr>
                <w:rFonts w:asciiTheme="minorHAnsi" w:hAnsiTheme="minorHAnsi" w:cstheme="minorHAnsi"/>
                <w:b/>
                <w:bCs/>
                <w:szCs w:val="20"/>
              </w:rPr>
            </w:pPr>
            <w:r>
              <w:rPr>
                <w:rFonts w:asciiTheme="minorHAnsi" w:hAnsiTheme="minorHAnsi" w:cstheme="minorHAnsi"/>
                <w:b/>
                <w:bCs/>
                <w:szCs w:val="20"/>
              </w:rPr>
              <w:t>Timescales</w:t>
            </w:r>
          </w:p>
        </w:tc>
        <w:tc>
          <w:tcPr>
            <w:tcW w:w="2126" w:type="dxa"/>
            <w:shd w:val="clear" w:color="auto" w:fill="D9D9D9" w:themeFill="background1" w:themeFillShade="D9"/>
            <w:hideMark/>
          </w:tcPr>
          <w:p w14:paraId="54DB7BCD" w14:textId="77777777" w:rsidR="005919B7" w:rsidRDefault="005919B7" w:rsidP="001032F0">
            <w:pPr>
              <w:spacing w:before="40" w:after="40"/>
              <w:jc w:val="center"/>
              <w:rPr>
                <w:rFonts w:asciiTheme="minorHAnsi" w:hAnsiTheme="minorHAnsi" w:cstheme="minorHAnsi"/>
                <w:b/>
                <w:bCs/>
                <w:szCs w:val="20"/>
              </w:rPr>
            </w:pPr>
            <w:r>
              <w:rPr>
                <w:rFonts w:asciiTheme="minorHAnsi" w:hAnsiTheme="minorHAnsi" w:cstheme="minorHAnsi"/>
                <w:b/>
                <w:bCs/>
                <w:szCs w:val="20"/>
              </w:rPr>
              <w:t>Responsibility /</w:t>
            </w:r>
          </w:p>
          <w:p w14:paraId="0329436A" w14:textId="77777777" w:rsidR="005919B7" w:rsidRDefault="005919B7" w:rsidP="001032F0">
            <w:pPr>
              <w:spacing w:before="40" w:after="40"/>
              <w:jc w:val="center"/>
              <w:rPr>
                <w:rFonts w:asciiTheme="minorHAnsi" w:hAnsiTheme="minorHAnsi" w:cstheme="minorHAnsi"/>
                <w:b/>
                <w:bCs/>
                <w:szCs w:val="20"/>
              </w:rPr>
            </w:pPr>
            <w:r>
              <w:rPr>
                <w:rFonts w:asciiTheme="minorHAnsi" w:hAnsiTheme="minorHAnsi" w:cstheme="minorHAnsi"/>
                <w:b/>
                <w:bCs/>
                <w:szCs w:val="20"/>
              </w:rPr>
              <w:t>Reporting Lead</w:t>
            </w:r>
          </w:p>
        </w:tc>
      </w:tr>
      <w:tr w:rsidR="005919B7" w14:paraId="19449BA3" w14:textId="77777777" w:rsidTr="00FD7A99">
        <w:trPr>
          <w:trHeight w:val="307"/>
        </w:trPr>
        <w:tc>
          <w:tcPr>
            <w:tcW w:w="3941" w:type="dxa"/>
            <w:hideMark/>
          </w:tcPr>
          <w:p w14:paraId="20D479A1" w14:textId="6FF11FAE" w:rsidR="005919B7" w:rsidRDefault="005919B7" w:rsidP="001032F0">
            <w:pPr>
              <w:spacing w:before="40" w:after="40"/>
              <w:jc w:val="both"/>
              <w:rPr>
                <w:rFonts w:asciiTheme="minorHAnsi" w:hAnsiTheme="minorHAnsi" w:cstheme="minorBidi"/>
                <w:color w:val="auto"/>
              </w:rPr>
            </w:pPr>
            <w:r>
              <w:rPr>
                <w:rFonts w:asciiTheme="minorHAnsi" w:hAnsiTheme="minorHAnsi" w:cstheme="minorBidi"/>
                <w:color w:val="auto"/>
              </w:rPr>
              <w:t xml:space="preserve">Construction of the new University Centre </w:t>
            </w:r>
          </w:p>
        </w:tc>
        <w:tc>
          <w:tcPr>
            <w:tcW w:w="1152" w:type="dxa"/>
            <w:hideMark/>
          </w:tcPr>
          <w:p w14:paraId="124ADED9" w14:textId="77777777" w:rsidR="005919B7" w:rsidRDefault="005919B7" w:rsidP="001032F0">
            <w:pPr>
              <w:spacing w:before="40" w:after="40"/>
              <w:jc w:val="center"/>
              <w:rPr>
                <w:rFonts w:eastAsia="Calibri"/>
              </w:rPr>
            </w:pPr>
            <w:r>
              <w:rPr>
                <w:rFonts w:asciiTheme="minorHAnsi" w:hAnsiTheme="minorHAnsi" w:cstheme="minorBidi"/>
                <w:color w:val="auto"/>
              </w:rPr>
              <w:t>4250 sqm</w:t>
            </w:r>
          </w:p>
        </w:tc>
        <w:tc>
          <w:tcPr>
            <w:tcW w:w="1843" w:type="dxa"/>
            <w:hideMark/>
          </w:tcPr>
          <w:p w14:paraId="5D53D7A3"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2024</w:t>
            </w:r>
          </w:p>
        </w:tc>
        <w:tc>
          <w:tcPr>
            <w:tcW w:w="2126" w:type="dxa"/>
            <w:hideMark/>
          </w:tcPr>
          <w:p w14:paraId="748479E1" w14:textId="77777777" w:rsidR="005919B7" w:rsidRDefault="005919B7" w:rsidP="001032F0">
            <w:pPr>
              <w:spacing w:before="40" w:after="40"/>
              <w:jc w:val="center"/>
              <w:rPr>
                <w:rFonts w:asciiTheme="minorHAnsi" w:hAnsiTheme="minorHAnsi" w:cstheme="minorHAnsi"/>
              </w:rPr>
            </w:pPr>
            <w:r>
              <w:rPr>
                <w:rFonts w:asciiTheme="minorHAnsi" w:hAnsiTheme="minorHAnsi" w:cstheme="minorHAnsi"/>
              </w:rPr>
              <w:t xml:space="preserve">Dudley MBC </w:t>
            </w:r>
          </w:p>
        </w:tc>
      </w:tr>
      <w:tr w:rsidR="005919B7" w14:paraId="76058082" w14:textId="77777777" w:rsidTr="00FD7A99">
        <w:trPr>
          <w:trHeight w:val="318"/>
        </w:trPr>
        <w:tc>
          <w:tcPr>
            <w:tcW w:w="3941" w:type="dxa"/>
            <w:hideMark/>
          </w:tcPr>
          <w:p w14:paraId="78136918" w14:textId="77777777" w:rsidR="005919B7" w:rsidRDefault="005919B7" w:rsidP="001032F0">
            <w:pPr>
              <w:spacing w:before="40" w:after="40"/>
              <w:jc w:val="both"/>
              <w:rPr>
                <w:rFonts w:asciiTheme="minorHAnsi" w:hAnsiTheme="minorHAnsi" w:cstheme="minorHAnsi"/>
                <w:color w:val="auto"/>
              </w:rPr>
            </w:pPr>
            <w:r>
              <w:rPr>
                <w:rFonts w:asciiTheme="minorHAnsi" w:hAnsiTheme="minorHAnsi" w:cstheme="minorHAnsi"/>
                <w:color w:val="auto"/>
              </w:rPr>
              <w:t xml:space="preserve">Public realm improvements </w:t>
            </w:r>
          </w:p>
        </w:tc>
        <w:tc>
          <w:tcPr>
            <w:tcW w:w="1152" w:type="dxa"/>
            <w:hideMark/>
          </w:tcPr>
          <w:p w14:paraId="1BB3B65B"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6,500 sqm</w:t>
            </w:r>
          </w:p>
        </w:tc>
        <w:tc>
          <w:tcPr>
            <w:tcW w:w="1843" w:type="dxa"/>
            <w:hideMark/>
          </w:tcPr>
          <w:p w14:paraId="5867859E"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2024</w:t>
            </w:r>
          </w:p>
        </w:tc>
        <w:tc>
          <w:tcPr>
            <w:tcW w:w="2126" w:type="dxa"/>
            <w:hideMark/>
          </w:tcPr>
          <w:p w14:paraId="167DDFF5" w14:textId="77777777" w:rsidR="005919B7" w:rsidRDefault="005919B7" w:rsidP="001032F0">
            <w:pPr>
              <w:spacing w:before="40" w:after="40"/>
              <w:jc w:val="center"/>
              <w:rPr>
                <w:rFonts w:asciiTheme="minorHAnsi" w:hAnsiTheme="minorHAnsi" w:cstheme="minorHAnsi"/>
              </w:rPr>
            </w:pPr>
            <w:r>
              <w:rPr>
                <w:rFonts w:asciiTheme="minorHAnsi" w:hAnsiTheme="minorHAnsi" w:cstheme="minorHAnsi"/>
              </w:rPr>
              <w:t>Dudley MBC</w:t>
            </w:r>
          </w:p>
        </w:tc>
      </w:tr>
      <w:tr w:rsidR="005919B7" w14:paraId="16D9119E" w14:textId="77777777" w:rsidTr="00FD7A99">
        <w:trPr>
          <w:trHeight w:val="318"/>
        </w:trPr>
        <w:tc>
          <w:tcPr>
            <w:tcW w:w="3941" w:type="dxa"/>
            <w:hideMark/>
          </w:tcPr>
          <w:p w14:paraId="4C1FF882" w14:textId="77777777" w:rsidR="005919B7" w:rsidRDefault="005919B7" w:rsidP="001032F0">
            <w:pPr>
              <w:spacing w:before="40" w:after="40"/>
              <w:jc w:val="both"/>
              <w:rPr>
                <w:rFonts w:asciiTheme="minorHAnsi" w:hAnsiTheme="minorHAnsi" w:cstheme="minorHAnsi"/>
                <w:color w:val="auto"/>
              </w:rPr>
            </w:pPr>
            <w:r>
              <w:rPr>
                <w:rFonts w:asciiTheme="minorHAnsi" w:hAnsiTheme="minorHAnsi" w:cstheme="minorHAnsi"/>
                <w:color w:val="auto"/>
              </w:rPr>
              <w:t xml:space="preserve">Learning opportunities </w:t>
            </w:r>
          </w:p>
        </w:tc>
        <w:tc>
          <w:tcPr>
            <w:tcW w:w="1152" w:type="dxa"/>
            <w:hideMark/>
          </w:tcPr>
          <w:p w14:paraId="018D61AE"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1,800</w:t>
            </w:r>
          </w:p>
        </w:tc>
        <w:tc>
          <w:tcPr>
            <w:tcW w:w="1843" w:type="dxa"/>
            <w:hideMark/>
          </w:tcPr>
          <w:p w14:paraId="27E90A82"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2028</w:t>
            </w:r>
          </w:p>
        </w:tc>
        <w:tc>
          <w:tcPr>
            <w:tcW w:w="2126" w:type="dxa"/>
            <w:hideMark/>
          </w:tcPr>
          <w:p w14:paraId="3244DCD8" w14:textId="77777777" w:rsidR="005919B7" w:rsidRDefault="005919B7" w:rsidP="001032F0">
            <w:pPr>
              <w:spacing w:before="40" w:after="40"/>
              <w:jc w:val="center"/>
              <w:rPr>
                <w:rFonts w:asciiTheme="minorHAnsi" w:hAnsiTheme="minorHAnsi" w:cstheme="minorHAnsi"/>
              </w:rPr>
            </w:pPr>
            <w:proofErr w:type="spellStart"/>
            <w:r>
              <w:rPr>
                <w:rFonts w:asciiTheme="minorHAnsi" w:hAnsiTheme="minorHAnsi" w:cstheme="minorHAnsi"/>
              </w:rPr>
              <w:t>UoW</w:t>
            </w:r>
            <w:proofErr w:type="spellEnd"/>
          </w:p>
        </w:tc>
      </w:tr>
      <w:tr w:rsidR="005919B7" w14:paraId="2815D0EC" w14:textId="77777777" w:rsidTr="00FD7A99">
        <w:trPr>
          <w:trHeight w:val="318"/>
        </w:trPr>
        <w:tc>
          <w:tcPr>
            <w:tcW w:w="3941" w:type="dxa"/>
            <w:hideMark/>
          </w:tcPr>
          <w:p w14:paraId="20858CA4" w14:textId="77777777" w:rsidR="005919B7" w:rsidRDefault="005919B7" w:rsidP="001032F0">
            <w:pPr>
              <w:spacing w:before="40" w:after="40"/>
              <w:jc w:val="both"/>
              <w:rPr>
                <w:rFonts w:asciiTheme="minorHAnsi" w:hAnsiTheme="minorHAnsi" w:cstheme="minorHAnsi"/>
                <w:color w:val="auto"/>
              </w:rPr>
            </w:pPr>
            <w:r>
              <w:rPr>
                <w:rFonts w:asciiTheme="minorHAnsi" w:hAnsiTheme="minorHAnsi" w:cstheme="minorHAnsi"/>
                <w:color w:val="auto"/>
              </w:rPr>
              <w:t xml:space="preserve">New jobs created in the University Centre </w:t>
            </w:r>
          </w:p>
        </w:tc>
        <w:tc>
          <w:tcPr>
            <w:tcW w:w="1152" w:type="dxa"/>
            <w:hideMark/>
          </w:tcPr>
          <w:p w14:paraId="3E712E2E"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[40-50]</w:t>
            </w:r>
          </w:p>
        </w:tc>
        <w:tc>
          <w:tcPr>
            <w:tcW w:w="1843" w:type="dxa"/>
            <w:hideMark/>
          </w:tcPr>
          <w:p w14:paraId="17057E8E"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2024 - 28</w:t>
            </w:r>
          </w:p>
        </w:tc>
        <w:tc>
          <w:tcPr>
            <w:tcW w:w="2126" w:type="dxa"/>
            <w:hideMark/>
          </w:tcPr>
          <w:p w14:paraId="48D4D5AB" w14:textId="77777777" w:rsidR="005919B7" w:rsidRDefault="005919B7" w:rsidP="001032F0">
            <w:pPr>
              <w:spacing w:before="40" w:after="40"/>
              <w:jc w:val="center"/>
              <w:rPr>
                <w:rFonts w:asciiTheme="minorHAnsi" w:hAnsiTheme="minorHAnsi" w:cstheme="minorHAnsi"/>
              </w:rPr>
            </w:pPr>
            <w:proofErr w:type="spellStart"/>
            <w:r>
              <w:rPr>
                <w:rFonts w:asciiTheme="minorHAnsi" w:hAnsiTheme="minorHAnsi" w:cstheme="minorHAnsi"/>
              </w:rPr>
              <w:t>DCoT</w:t>
            </w:r>
            <w:proofErr w:type="spellEnd"/>
            <w:r>
              <w:rPr>
                <w:rFonts w:asciiTheme="minorHAnsi" w:hAnsiTheme="minorHAnsi" w:cstheme="minorHAnsi"/>
              </w:rPr>
              <w:t xml:space="preserve">; </w:t>
            </w:r>
            <w:proofErr w:type="spellStart"/>
            <w:r>
              <w:rPr>
                <w:rFonts w:asciiTheme="minorHAnsi" w:hAnsiTheme="minorHAnsi" w:cstheme="minorHAnsi"/>
              </w:rPr>
              <w:t>UoW</w:t>
            </w:r>
            <w:proofErr w:type="spellEnd"/>
          </w:p>
        </w:tc>
      </w:tr>
      <w:tr w:rsidR="005919B7" w14:paraId="6A114D5B" w14:textId="77777777" w:rsidTr="00FD7A99">
        <w:trPr>
          <w:trHeight w:val="318"/>
        </w:trPr>
        <w:tc>
          <w:tcPr>
            <w:tcW w:w="3941" w:type="dxa"/>
          </w:tcPr>
          <w:p w14:paraId="67FCB25E" w14:textId="77777777" w:rsidR="005919B7" w:rsidRDefault="005919B7" w:rsidP="001032F0">
            <w:pPr>
              <w:spacing w:before="40" w:after="40"/>
              <w:jc w:val="both"/>
              <w:rPr>
                <w:rFonts w:asciiTheme="minorHAnsi" w:hAnsiTheme="minorHAnsi" w:cstheme="minorHAnsi"/>
                <w:color w:val="auto"/>
              </w:rPr>
            </w:pPr>
            <w:r>
              <w:rPr>
                <w:rFonts w:asciiTheme="minorHAnsi" w:hAnsiTheme="minorHAnsi" w:cstheme="minorHAnsi"/>
                <w:color w:val="auto"/>
              </w:rPr>
              <w:t xml:space="preserve">Collaboration with Employers </w:t>
            </w:r>
          </w:p>
        </w:tc>
        <w:tc>
          <w:tcPr>
            <w:tcW w:w="1152" w:type="dxa"/>
          </w:tcPr>
          <w:p w14:paraId="6453A8AC"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200 p.a.</w:t>
            </w:r>
          </w:p>
        </w:tc>
        <w:tc>
          <w:tcPr>
            <w:tcW w:w="1843" w:type="dxa"/>
          </w:tcPr>
          <w:p w14:paraId="787AB73B"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2028</w:t>
            </w:r>
          </w:p>
        </w:tc>
        <w:tc>
          <w:tcPr>
            <w:tcW w:w="2126" w:type="dxa"/>
          </w:tcPr>
          <w:p w14:paraId="16D45017" w14:textId="77777777" w:rsidR="005919B7" w:rsidRDefault="005919B7" w:rsidP="001032F0">
            <w:pPr>
              <w:spacing w:before="40" w:after="40"/>
              <w:jc w:val="center"/>
              <w:rPr>
                <w:rFonts w:asciiTheme="minorHAnsi" w:hAnsiTheme="minorHAnsi" w:cstheme="minorHAnsi"/>
              </w:rPr>
            </w:pPr>
            <w:proofErr w:type="spellStart"/>
            <w:r>
              <w:rPr>
                <w:rFonts w:asciiTheme="minorHAnsi" w:hAnsiTheme="minorHAnsi" w:cstheme="minorHAnsi"/>
              </w:rPr>
              <w:t>DCoT</w:t>
            </w:r>
            <w:proofErr w:type="spellEnd"/>
            <w:r>
              <w:rPr>
                <w:rFonts w:asciiTheme="minorHAnsi" w:hAnsiTheme="minorHAnsi" w:cstheme="minorHAnsi"/>
              </w:rPr>
              <w:t xml:space="preserve">; </w:t>
            </w:r>
            <w:proofErr w:type="spellStart"/>
            <w:r>
              <w:rPr>
                <w:rFonts w:asciiTheme="minorHAnsi" w:hAnsiTheme="minorHAnsi" w:cstheme="minorHAnsi"/>
              </w:rPr>
              <w:t>UoW</w:t>
            </w:r>
            <w:proofErr w:type="spellEnd"/>
          </w:p>
        </w:tc>
      </w:tr>
      <w:tr w:rsidR="005919B7" w14:paraId="2C0747D2" w14:textId="77777777" w:rsidTr="00FD7A99">
        <w:trPr>
          <w:trHeight w:val="701"/>
        </w:trPr>
        <w:tc>
          <w:tcPr>
            <w:tcW w:w="3941" w:type="dxa"/>
          </w:tcPr>
          <w:p w14:paraId="34D19572" w14:textId="77777777" w:rsidR="005919B7" w:rsidRDefault="005919B7" w:rsidP="001032F0">
            <w:pPr>
              <w:spacing w:before="40" w:after="40"/>
              <w:rPr>
                <w:rFonts w:asciiTheme="minorHAnsi" w:hAnsiTheme="minorHAnsi" w:cstheme="minorHAnsi"/>
                <w:color w:val="auto"/>
              </w:rPr>
            </w:pPr>
            <w:r>
              <w:rPr>
                <w:rFonts w:asciiTheme="minorHAnsi" w:hAnsiTheme="minorHAnsi" w:cstheme="minorHAnsi"/>
                <w:color w:val="auto"/>
              </w:rPr>
              <w:t>Learners gaining relevant experience and being job ready</w:t>
            </w:r>
          </w:p>
        </w:tc>
        <w:tc>
          <w:tcPr>
            <w:tcW w:w="1152" w:type="dxa"/>
          </w:tcPr>
          <w:p w14:paraId="675EF3C7"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90%</w:t>
            </w:r>
          </w:p>
        </w:tc>
        <w:tc>
          <w:tcPr>
            <w:tcW w:w="1843" w:type="dxa"/>
          </w:tcPr>
          <w:p w14:paraId="40BB106E" w14:textId="77777777" w:rsidR="005919B7" w:rsidRDefault="005919B7" w:rsidP="001032F0">
            <w:pPr>
              <w:spacing w:before="40" w:after="40"/>
              <w:jc w:val="center"/>
              <w:rPr>
                <w:rFonts w:asciiTheme="minorHAnsi" w:hAnsiTheme="minorHAnsi" w:cstheme="minorHAnsi"/>
                <w:color w:val="auto"/>
              </w:rPr>
            </w:pPr>
            <w:r>
              <w:rPr>
                <w:rFonts w:asciiTheme="minorHAnsi" w:hAnsiTheme="minorHAnsi" w:cstheme="minorHAnsi"/>
                <w:color w:val="auto"/>
              </w:rPr>
              <w:t>By Sept 2024</w:t>
            </w:r>
          </w:p>
        </w:tc>
        <w:tc>
          <w:tcPr>
            <w:tcW w:w="2126" w:type="dxa"/>
          </w:tcPr>
          <w:p w14:paraId="63721E75" w14:textId="77777777" w:rsidR="005919B7" w:rsidRDefault="005919B7" w:rsidP="001032F0">
            <w:pPr>
              <w:spacing w:before="40" w:after="40"/>
              <w:jc w:val="center"/>
              <w:rPr>
                <w:rFonts w:asciiTheme="minorHAnsi" w:hAnsiTheme="minorHAnsi" w:cstheme="minorHAnsi"/>
              </w:rPr>
            </w:pPr>
            <w:proofErr w:type="spellStart"/>
            <w:r>
              <w:rPr>
                <w:rFonts w:asciiTheme="minorHAnsi" w:hAnsiTheme="minorHAnsi" w:cstheme="minorHAnsi"/>
              </w:rPr>
              <w:t>UoW</w:t>
            </w:r>
            <w:proofErr w:type="spellEnd"/>
          </w:p>
        </w:tc>
      </w:tr>
      <w:bookmarkEnd w:id="1"/>
    </w:tbl>
    <w:p w14:paraId="2E5B0A8C" w14:textId="77777777" w:rsidR="005919B7" w:rsidRDefault="005919B7" w:rsidP="005919B7">
      <w:pPr>
        <w:jc w:val="both"/>
        <w:rPr>
          <w:rFonts w:asciiTheme="minorHAnsi" w:hAnsiTheme="minorHAnsi" w:cstheme="minorHAnsi"/>
        </w:rPr>
      </w:pPr>
    </w:p>
    <w:p w14:paraId="75B06CBB" w14:textId="77777777" w:rsidR="005919B7" w:rsidRDefault="005919B7" w:rsidP="005919B7">
      <w:pPr>
        <w:jc w:val="both"/>
        <w:rPr>
          <w:rFonts w:asciiTheme="minorHAnsi" w:hAnsiTheme="minorHAnsi" w:cstheme="minorHAnsi"/>
        </w:rPr>
      </w:pPr>
      <w:r>
        <w:rPr>
          <w:rFonts w:asciiTheme="minorHAnsi" w:hAnsiTheme="minorHAnsi" w:cstheme="minorHAnsi"/>
        </w:rPr>
        <w:t xml:space="preserve">These project specific indicators are in addition to the mandatory programme level indicators, which are consistent across all Towns Fund areas and relate to: </w:t>
      </w:r>
    </w:p>
    <w:p w14:paraId="0C4833E7" w14:textId="77777777" w:rsidR="005919B7" w:rsidRDefault="005919B7" w:rsidP="005919B7">
      <w:pPr>
        <w:jc w:val="both"/>
        <w:rPr>
          <w:rFonts w:asciiTheme="minorHAnsi" w:hAnsiTheme="minorHAnsi" w:cstheme="minorHAnsi"/>
        </w:rPr>
      </w:pPr>
    </w:p>
    <w:p w14:paraId="48FBE309"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t>Spend on project delivery (either local authority or implementation partners)</w:t>
      </w:r>
    </w:p>
    <w:p w14:paraId="02419A01"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t>Co-funding spent on project delivery (private and public)</w:t>
      </w:r>
    </w:p>
    <w:p w14:paraId="29BDC1A7"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t>Co-funding committed (private and public)</w:t>
      </w:r>
    </w:p>
    <w:p w14:paraId="6FBADA5E"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lastRenderedPageBreak/>
        <w:t xml:space="preserve">Number of temporary FT jobs supported during project implementation – for example construction of the new University Centre </w:t>
      </w:r>
    </w:p>
    <w:p w14:paraId="6E58298D"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t>Number of full-time equivalent (FTE) permanent jobs created through the projects – this will be the same as the new jobs created in the University Centre set out above as there is only one project within the Dudley Programme</w:t>
      </w:r>
    </w:p>
    <w:p w14:paraId="473F0B85" w14:textId="77777777" w:rsidR="005919B7" w:rsidRPr="00C4002E" w:rsidRDefault="005919B7" w:rsidP="005919B7">
      <w:pPr>
        <w:pStyle w:val="ListParagraph"/>
        <w:numPr>
          <w:ilvl w:val="0"/>
          <w:numId w:val="14"/>
        </w:numPr>
        <w:jc w:val="both"/>
        <w:rPr>
          <w:rFonts w:asciiTheme="minorHAnsi" w:hAnsiTheme="minorHAnsi" w:cstheme="minorHAnsi"/>
          <w:sz w:val="22"/>
          <w:szCs w:val="22"/>
        </w:rPr>
      </w:pPr>
      <w:r w:rsidRPr="00C4002E">
        <w:rPr>
          <w:rFonts w:asciiTheme="minorHAnsi" w:hAnsiTheme="minorHAnsi" w:cstheme="minorHAnsi"/>
          <w:sz w:val="22"/>
          <w:szCs w:val="22"/>
        </w:rPr>
        <w:t xml:space="preserve">Number of full-time equivalent (FTE) permanent jobs safeguarded through the projects </w:t>
      </w:r>
    </w:p>
    <w:p w14:paraId="58A9CC8D" w14:textId="77777777" w:rsidR="005919B7" w:rsidRDefault="005919B7" w:rsidP="005919B7">
      <w:pPr>
        <w:jc w:val="both"/>
        <w:rPr>
          <w:rFonts w:asciiTheme="minorHAnsi" w:hAnsiTheme="minorHAnsi" w:cstheme="minorHAnsi"/>
        </w:rPr>
      </w:pPr>
    </w:p>
    <w:p w14:paraId="051911E5" w14:textId="77777777" w:rsidR="005919B7" w:rsidRDefault="005919B7" w:rsidP="005919B7">
      <w:pPr>
        <w:jc w:val="both"/>
        <w:rPr>
          <w:rFonts w:asciiTheme="minorHAnsi" w:hAnsiTheme="minorHAnsi" w:cstheme="minorHAnsi"/>
        </w:rPr>
      </w:pPr>
      <w:r w:rsidRPr="00420F57">
        <w:rPr>
          <w:rFonts w:asciiTheme="minorHAnsi" w:hAnsiTheme="minorHAnsi" w:cstheme="minorHAnsi"/>
        </w:rPr>
        <w:t xml:space="preserve">Maximising local benefits is a core principle underpinning all activities delivered by Dudley </w:t>
      </w:r>
      <w:r>
        <w:rPr>
          <w:rFonts w:asciiTheme="minorHAnsi" w:hAnsiTheme="minorHAnsi" w:cstheme="minorHAnsi"/>
        </w:rPr>
        <w:t xml:space="preserve">MBC and the </w:t>
      </w:r>
      <w:r w:rsidRPr="00420F57">
        <w:rPr>
          <w:rFonts w:asciiTheme="minorHAnsi" w:hAnsiTheme="minorHAnsi" w:cstheme="minorHAnsi"/>
        </w:rPr>
        <w:t>project partners that will be involved in delivering and managing the new University Centre Project. Key stakeholders will seek to maximise and realise benefits by ensuring local people benefit from employment</w:t>
      </w:r>
      <w:r>
        <w:rPr>
          <w:rFonts w:asciiTheme="minorHAnsi" w:hAnsiTheme="minorHAnsi" w:cstheme="minorHAnsi"/>
        </w:rPr>
        <w:t xml:space="preserve"> and skills</w:t>
      </w:r>
      <w:r w:rsidRPr="00420F57">
        <w:rPr>
          <w:rFonts w:asciiTheme="minorHAnsi" w:hAnsiTheme="minorHAnsi" w:cstheme="minorHAnsi"/>
        </w:rPr>
        <w:t xml:space="preserve"> opportunities, through ongoing local consultation, and by ensuring effective marketing and promotional activities.</w:t>
      </w:r>
    </w:p>
    <w:p w14:paraId="2DD03B69" w14:textId="77777777" w:rsidR="005919B7" w:rsidRDefault="005919B7" w:rsidP="005919B7">
      <w:pPr>
        <w:pStyle w:val="AmionBodyText"/>
      </w:pPr>
    </w:p>
    <w:p w14:paraId="6CFA9EE6" w14:textId="77777777" w:rsidR="00C57BBE" w:rsidRDefault="002B0DCF"/>
    <w:sectPr w:rsidR="00C57B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C3927"/>
    <w:multiLevelType w:val="hybridMultilevel"/>
    <w:tmpl w:val="76146A74"/>
    <w:lvl w:ilvl="0" w:tplc="9B50D7C4">
      <w:start w:val="1"/>
      <w:numFmt w:val="bullet"/>
      <w:lvlText w:val=""/>
      <w:lvlJc w:val="left"/>
      <w:pPr>
        <w:ind w:left="36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EB07A56"/>
    <w:multiLevelType w:val="hybridMultilevel"/>
    <w:tmpl w:val="2770444E"/>
    <w:lvl w:ilvl="0" w:tplc="CEA65340">
      <w:start w:val="1"/>
      <w:numFmt w:val="bullet"/>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0546F5"/>
    <w:multiLevelType w:val="hybridMultilevel"/>
    <w:tmpl w:val="D4960990"/>
    <w:lvl w:ilvl="0" w:tplc="A6F0E23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443A8"/>
    <w:multiLevelType w:val="hybridMultilevel"/>
    <w:tmpl w:val="9B129238"/>
    <w:lvl w:ilvl="0" w:tplc="F3384CEE">
      <w:start w:val="1"/>
      <w:numFmt w:val="bullet"/>
      <w:lvlText w:val=""/>
      <w:lvlJc w:val="left"/>
      <w:pPr>
        <w:ind w:left="1080" w:hanging="360"/>
      </w:pPr>
      <w:rPr>
        <w:rFonts w:ascii="Symbol" w:hAnsi="Symbol" w:hint="default"/>
        <w:color w:val="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86B0078"/>
    <w:multiLevelType w:val="hybridMultilevel"/>
    <w:tmpl w:val="B2EC9CEA"/>
    <w:lvl w:ilvl="0" w:tplc="0809000F">
      <w:start w:val="1"/>
      <w:numFmt w:val="decimal"/>
      <w:pStyle w:val="List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4F4947"/>
    <w:multiLevelType w:val="hybridMultilevel"/>
    <w:tmpl w:val="DD3E194E"/>
    <w:lvl w:ilvl="0" w:tplc="CEA65340">
      <w:start w:val="1"/>
      <w:numFmt w:val="bullet"/>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9715A1"/>
    <w:multiLevelType w:val="hybridMultilevel"/>
    <w:tmpl w:val="9328E09C"/>
    <w:lvl w:ilvl="0" w:tplc="A6F0E23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A6F0E23E">
      <w:start w:val="1"/>
      <w:numFmt w:val="bullet"/>
      <w:lvlText w:val=""/>
      <w:lvlJc w:val="left"/>
      <w:pPr>
        <w:ind w:left="2880" w:hanging="360"/>
      </w:pPr>
      <w:rPr>
        <w:rFonts w:ascii="Symbol" w:hAnsi="Symbol" w:hint="default"/>
        <w:color w:val="0070C0"/>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2429D1"/>
    <w:multiLevelType w:val="multilevel"/>
    <w:tmpl w:val="CBC4A5F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2D73AA6"/>
    <w:multiLevelType w:val="hybridMultilevel"/>
    <w:tmpl w:val="6074DA60"/>
    <w:lvl w:ilvl="0" w:tplc="FFFFFFFF">
      <w:start w:val="1"/>
      <w:numFmt w:val="bullet"/>
      <w:lvlText w:val=""/>
      <w:lvlJc w:val="left"/>
      <w:pPr>
        <w:ind w:left="1457" w:hanging="360"/>
      </w:pPr>
      <w:rPr>
        <w:rFonts w:ascii="Symbol" w:hAnsi="Symbol" w:hint="default"/>
        <w:color w:val="8496B0" w:themeColor="text2" w:themeTint="99"/>
      </w:rPr>
    </w:lvl>
    <w:lvl w:ilvl="1" w:tplc="A6F0E23E">
      <w:start w:val="1"/>
      <w:numFmt w:val="bullet"/>
      <w:lvlText w:val=""/>
      <w:lvlJc w:val="left"/>
      <w:pPr>
        <w:ind w:left="2177" w:hanging="360"/>
      </w:pPr>
      <w:rPr>
        <w:rFonts w:ascii="Symbol" w:hAnsi="Symbol" w:hint="default"/>
        <w:color w:val="0070C0"/>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 w15:restartNumberingAfterBreak="0">
    <w:nsid w:val="571F7F8A"/>
    <w:multiLevelType w:val="hybridMultilevel"/>
    <w:tmpl w:val="56A6A91A"/>
    <w:lvl w:ilvl="0" w:tplc="CEA65340">
      <w:start w:val="1"/>
      <w:numFmt w:val="bullet"/>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661194"/>
    <w:multiLevelType w:val="hybridMultilevel"/>
    <w:tmpl w:val="D9A65576"/>
    <w:lvl w:ilvl="0" w:tplc="9B50D7C4">
      <w:start w:val="1"/>
      <w:numFmt w:val="bullet"/>
      <w:lvlText w:val=""/>
      <w:lvlJc w:val="left"/>
      <w:pPr>
        <w:ind w:left="1457" w:hanging="360"/>
      </w:pPr>
      <w:rPr>
        <w:rFonts w:ascii="Symbol" w:hAnsi="Symbol" w:hint="default"/>
        <w:color w:val="0070C0"/>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1" w15:restartNumberingAfterBreak="0">
    <w:nsid w:val="77E84593"/>
    <w:multiLevelType w:val="hybridMultilevel"/>
    <w:tmpl w:val="5B16CCD4"/>
    <w:lvl w:ilvl="0" w:tplc="CEA65340">
      <w:start w:val="1"/>
      <w:numFmt w:val="bullet"/>
      <w:lvlText w:val=""/>
      <w:lvlJc w:val="left"/>
      <w:pPr>
        <w:ind w:left="765" w:hanging="360"/>
      </w:pPr>
      <w:rPr>
        <w:rFonts w:ascii="Symbol" w:hAnsi="Symbol" w:hint="default"/>
        <w:color w:val="0070C0"/>
        <w:sz w:val="22"/>
        <w:szCs w:val="22"/>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794F1826"/>
    <w:multiLevelType w:val="hybridMultilevel"/>
    <w:tmpl w:val="3B046074"/>
    <w:lvl w:ilvl="0" w:tplc="CEA65340">
      <w:start w:val="1"/>
      <w:numFmt w:val="bullet"/>
      <w:lvlText w:val=""/>
      <w:lvlJc w:val="left"/>
      <w:pPr>
        <w:ind w:left="1077" w:hanging="360"/>
      </w:pPr>
      <w:rPr>
        <w:rFonts w:ascii="Symbol" w:hAnsi="Symbol" w:hint="default"/>
        <w:color w:val="0070C0"/>
        <w:sz w:val="22"/>
        <w:szCs w:val="22"/>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 w15:restartNumberingAfterBreak="0">
    <w:nsid w:val="7E4905D0"/>
    <w:multiLevelType w:val="hybridMultilevel"/>
    <w:tmpl w:val="AFA4929C"/>
    <w:lvl w:ilvl="0" w:tplc="FFFFFFFF">
      <w:start w:val="1"/>
      <w:numFmt w:val="bullet"/>
      <w:lvlText w:val=""/>
      <w:lvlJc w:val="left"/>
      <w:pPr>
        <w:ind w:left="1457" w:hanging="360"/>
      </w:pPr>
      <w:rPr>
        <w:rFonts w:ascii="Symbol" w:hAnsi="Symbol" w:hint="default"/>
        <w:color w:val="0070C0"/>
      </w:rPr>
    </w:lvl>
    <w:lvl w:ilvl="1" w:tplc="FFFFFFFF">
      <w:start w:val="1"/>
      <w:numFmt w:val="bullet"/>
      <w:lvlText w:val="o"/>
      <w:lvlJc w:val="left"/>
      <w:pPr>
        <w:ind w:left="2177" w:hanging="360"/>
      </w:pPr>
      <w:rPr>
        <w:rFonts w:ascii="Courier New" w:hAnsi="Courier New" w:cs="Courier New" w:hint="default"/>
      </w:rPr>
    </w:lvl>
    <w:lvl w:ilvl="2" w:tplc="08090003">
      <w:start w:val="1"/>
      <w:numFmt w:val="bullet"/>
      <w:lvlText w:val="o"/>
      <w:lvlJc w:val="left"/>
      <w:pPr>
        <w:ind w:left="2897" w:hanging="360"/>
      </w:pPr>
      <w:rPr>
        <w:rFonts w:ascii="Courier New" w:hAnsi="Courier New" w:cs="Courier New" w:hint="default"/>
      </w:rPr>
    </w:lvl>
    <w:lvl w:ilvl="3" w:tplc="CFFA5366">
      <w:numFmt w:val="bullet"/>
      <w:lvlText w:val="•"/>
      <w:lvlJc w:val="left"/>
      <w:pPr>
        <w:ind w:left="3977" w:hanging="720"/>
      </w:pPr>
      <w:rPr>
        <w:rFonts w:ascii="Calibri" w:eastAsiaTheme="minorHAnsi" w:hAnsi="Calibri" w:cs="Calibri"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4" w15:restartNumberingAfterBreak="0">
    <w:nsid w:val="7E986822"/>
    <w:multiLevelType w:val="hybridMultilevel"/>
    <w:tmpl w:val="D6E0EB66"/>
    <w:lvl w:ilvl="0" w:tplc="A6F0E23E">
      <w:start w:val="1"/>
      <w:numFmt w:val="bullet"/>
      <w:pStyle w:val="Amionbullet1"/>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9"/>
  </w:num>
  <w:num w:numId="6">
    <w:abstractNumId w:val="13"/>
  </w:num>
  <w:num w:numId="7">
    <w:abstractNumId w:val="6"/>
  </w:num>
  <w:num w:numId="8">
    <w:abstractNumId w:val="2"/>
  </w:num>
  <w:num w:numId="9">
    <w:abstractNumId w:val="0"/>
  </w:num>
  <w:num w:numId="10">
    <w:abstractNumId w:val="11"/>
  </w:num>
  <w:num w:numId="11">
    <w:abstractNumId w:val="8"/>
  </w:num>
  <w:num w:numId="12">
    <w:abstractNumId w:val="12"/>
  </w:num>
  <w:num w:numId="13">
    <w:abstractNumId w:val="1"/>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B7"/>
    <w:rsid w:val="00035E2A"/>
    <w:rsid w:val="002B0DCF"/>
    <w:rsid w:val="003904C5"/>
    <w:rsid w:val="0044570A"/>
    <w:rsid w:val="004D4ADE"/>
    <w:rsid w:val="005919B7"/>
    <w:rsid w:val="0080594B"/>
    <w:rsid w:val="009F2481"/>
    <w:rsid w:val="00A34A54"/>
    <w:rsid w:val="00AB6BD6"/>
    <w:rsid w:val="00DB2438"/>
    <w:rsid w:val="00FD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33031"/>
  <w15:chartTrackingRefBased/>
  <w15:docId w15:val="{316B47EF-B7E8-4AC3-8530-CA75BBBB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9B7"/>
    <w:pPr>
      <w:spacing w:after="0" w:line="240" w:lineRule="auto"/>
    </w:pPr>
    <w:rPr>
      <w:rFonts w:ascii="Arial" w:hAnsi="Arial" w:cs="Arial"/>
      <w:color w:val="000000" w:themeColor="text1"/>
    </w:rPr>
  </w:style>
  <w:style w:type="paragraph" w:styleId="Heading2">
    <w:name w:val="heading 2"/>
    <w:basedOn w:val="Normal"/>
    <w:next w:val="Normal"/>
    <w:link w:val="Heading2Char"/>
    <w:unhideWhenUsed/>
    <w:qFormat/>
    <w:rsid w:val="005919B7"/>
    <w:pPr>
      <w:keepNext/>
      <w:keepLines/>
      <w:outlineLvl w:val="1"/>
    </w:pPr>
    <w:rPr>
      <w:rFonts w:eastAsiaTheme="majorEastAsia"/>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19B7"/>
    <w:rPr>
      <w:rFonts w:ascii="Arial" w:eastAsiaTheme="majorEastAsia" w:hAnsi="Arial" w:cs="Arial"/>
      <w:b/>
      <w:color w:val="4472C4" w:themeColor="accent1"/>
    </w:rPr>
  </w:style>
  <w:style w:type="table" w:styleId="TableGrid">
    <w:name w:val="Table Grid"/>
    <w:basedOn w:val="TableNormal"/>
    <w:uiPriority w:val="39"/>
    <w:rsid w:val="0059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link w:val="PagetitleChar"/>
    <w:uiPriority w:val="99"/>
    <w:qFormat/>
    <w:rsid w:val="005919B7"/>
    <w:pPr>
      <w:suppressAutoHyphens/>
      <w:autoSpaceDE w:val="0"/>
      <w:autoSpaceDN w:val="0"/>
      <w:adjustRightInd w:val="0"/>
      <w:spacing w:after="720"/>
      <w:textAlignment w:val="center"/>
    </w:pPr>
    <w:rPr>
      <w:rFonts w:cs="Times New Roman"/>
      <w:b/>
      <w:caps/>
      <w:color w:val="000000"/>
      <w:sz w:val="44"/>
      <w:lang w:val="en-US"/>
    </w:rPr>
  </w:style>
  <w:style w:type="character" w:customStyle="1" w:styleId="PagetitleChar">
    <w:name w:val="Page title Char"/>
    <w:basedOn w:val="DefaultParagraphFont"/>
    <w:link w:val="Pagetitle"/>
    <w:uiPriority w:val="99"/>
    <w:rsid w:val="005919B7"/>
    <w:rPr>
      <w:rFonts w:ascii="Arial" w:hAnsi="Arial" w:cs="Times New Roman"/>
      <w:b/>
      <w:caps/>
      <w:color w:val="000000"/>
      <w:sz w:val="44"/>
      <w:lang w:val="en-US"/>
    </w:rPr>
  </w:style>
  <w:style w:type="paragraph" w:styleId="ListParagraph">
    <w:name w:val="List Paragraph"/>
    <w:aliases w:val="Table of Content,Dot pt,No Spacing1,List Paragraph Char Char Char,Indicator Text,Numbered Para 1,Bullet 1,List Paragraph1,F5 List Paragraph,MAIN CONTENT,Colorful List - Accent 11,List Paragraph2,List Paragraph12,OBC Bullet"/>
    <w:basedOn w:val="Normal"/>
    <w:link w:val="ListParagraphChar"/>
    <w:uiPriority w:val="34"/>
    <w:qFormat/>
    <w:rsid w:val="005919B7"/>
    <w:pPr>
      <w:ind w:left="720"/>
      <w:contextualSpacing/>
    </w:pPr>
    <w:rPr>
      <w:rFonts w:ascii="Times New Roman" w:eastAsia="Times New Roman" w:hAnsi="Times New Roman" w:cs="Times New Roman"/>
      <w:color w:val="auto"/>
      <w:sz w:val="24"/>
      <w:szCs w:val="24"/>
      <w:lang w:eastAsia="en-GB"/>
    </w:rPr>
  </w:style>
  <w:style w:type="paragraph" w:customStyle="1" w:styleId="AmionBodyText">
    <w:name w:val="Amion Body Text"/>
    <w:link w:val="AmionBodyTextChar"/>
    <w:qFormat/>
    <w:rsid w:val="005919B7"/>
    <w:pPr>
      <w:spacing w:before="130" w:after="0" w:line="264" w:lineRule="auto"/>
      <w:jc w:val="both"/>
    </w:pPr>
    <w:rPr>
      <w:rFonts w:ascii="Arial" w:eastAsiaTheme="minorEastAsia" w:hAnsi="Arial" w:cs="Arial"/>
      <w:lang w:val="en-US" w:bidi="en-US"/>
    </w:rPr>
  </w:style>
  <w:style w:type="character" w:customStyle="1" w:styleId="AmionBodyTextChar">
    <w:name w:val="Amion Body Text Char"/>
    <w:basedOn w:val="DefaultParagraphFont"/>
    <w:link w:val="AmionBodyText"/>
    <w:rsid w:val="005919B7"/>
    <w:rPr>
      <w:rFonts w:ascii="Arial" w:eastAsiaTheme="minorEastAsia" w:hAnsi="Arial" w:cs="Arial"/>
      <w:lang w:val="en-US" w:bidi="en-US"/>
    </w:rPr>
  </w:style>
  <w:style w:type="character" w:customStyle="1" w:styleId="ListParagraphChar">
    <w:name w:val="List Paragraph Char"/>
    <w:aliases w:val="Table of Content Char,Dot pt Char,No Spacing1 Char,List Paragraph Char Char Char Char,Indicator Text Char,Numbered Para 1 Char,Bullet 1 Char,List Paragraph1 Char,F5 List Paragraph Char,MAIN CONTENT Char,Colorful List - Accent 11 Char"/>
    <w:link w:val="ListParagraph"/>
    <w:uiPriority w:val="34"/>
    <w:locked/>
    <w:rsid w:val="005919B7"/>
    <w:rPr>
      <w:rFonts w:ascii="Times New Roman" w:eastAsia="Times New Roman" w:hAnsi="Times New Roman" w:cs="Times New Roman"/>
      <w:sz w:val="24"/>
      <w:szCs w:val="24"/>
      <w:lang w:eastAsia="en-GB"/>
    </w:rPr>
  </w:style>
  <w:style w:type="paragraph" w:customStyle="1" w:styleId="Amionbullet1">
    <w:name w:val="Amion bullet 1"/>
    <w:basedOn w:val="ListBullet"/>
    <w:link w:val="Amionbullet1Char"/>
    <w:qFormat/>
    <w:rsid w:val="005919B7"/>
    <w:pPr>
      <w:numPr>
        <w:numId w:val="15"/>
      </w:numPr>
      <w:spacing w:before="130" w:line="264" w:lineRule="auto"/>
      <w:contextualSpacing w:val="0"/>
      <w:jc w:val="both"/>
    </w:pPr>
    <w:rPr>
      <w:rFonts w:eastAsia="SimSun"/>
      <w:color w:val="auto"/>
      <w:lang w:val="en-US" w:bidi="en-US"/>
    </w:rPr>
  </w:style>
  <w:style w:type="character" w:customStyle="1" w:styleId="Amionbullet1Char">
    <w:name w:val="Amion bullet 1 Char"/>
    <w:basedOn w:val="DefaultParagraphFont"/>
    <w:link w:val="Amionbullet1"/>
    <w:rsid w:val="005919B7"/>
    <w:rPr>
      <w:rFonts w:ascii="Arial" w:eastAsia="SimSun" w:hAnsi="Arial" w:cs="Arial"/>
      <w:lang w:val="en-US" w:bidi="en-US"/>
    </w:rPr>
  </w:style>
  <w:style w:type="character" w:customStyle="1" w:styleId="ClientTitle">
    <w:name w:val="ClientTitle"/>
    <w:basedOn w:val="DefaultParagraphFont"/>
    <w:qFormat/>
    <w:rsid w:val="005919B7"/>
    <w:rPr>
      <w:color w:val="830065"/>
    </w:rPr>
  </w:style>
  <w:style w:type="paragraph" w:customStyle="1" w:styleId="Covertext">
    <w:name w:val="Cover text"/>
    <w:basedOn w:val="Normal"/>
    <w:qFormat/>
    <w:rsid w:val="005919B7"/>
    <w:pPr>
      <w:spacing w:after="200" w:line="276" w:lineRule="auto"/>
    </w:pPr>
    <w:rPr>
      <w:rFonts w:ascii="Calibri" w:eastAsia="Calibri" w:hAnsi="Calibri" w:cs="Calibri"/>
      <w:color w:val="8A0066"/>
      <w:sz w:val="28"/>
      <w:szCs w:val="28"/>
      <w:lang w:eastAsia="en-GB"/>
    </w:rPr>
  </w:style>
  <w:style w:type="paragraph" w:styleId="ListBullet">
    <w:name w:val="List Bullet"/>
    <w:basedOn w:val="Normal"/>
    <w:uiPriority w:val="99"/>
    <w:semiHidden/>
    <w:unhideWhenUsed/>
    <w:rsid w:val="005919B7"/>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68B6A9E4360248B27D54B637EAE80F" ma:contentTypeVersion="10" ma:contentTypeDescription="Create a new document." ma:contentTypeScope="" ma:versionID="74fea4dbfd1785a406931ce10b01ff4e">
  <xsd:schema xmlns:xsd="http://www.w3.org/2001/XMLSchema" xmlns:xs="http://www.w3.org/2001/XMLSchema" xmlns:p="http://schemas.microsoft.com/office/2006/metadata/properties" xmlns:ns3="c59169b9-38d0-4288-824b-0f923461ac41" xmlns:ns4="e5e6db89-d4da-4df5-afd5-dacf022baa93" targetNamespace="http://schemas.microsoft.com/office/2006/metadata/properties" ma:root="true" ma:fieldsID="a1a8b03199023248cf2e600ba4b0d85e" ns3:_="" ns4:_="">
    <xsd:import namespace="c59169b9-38d0-4288-824b-0f923461ac41"/>
    <xsd:import namespace="e5e6db89-d4da-4df5-afd5-dacf022baa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69b9-38d0-4288-824b-0f923461ac4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6db89-d4da-4df5-afd5-dacf022baa9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10E2B-E5AA-4896-BB66-EB4627CF5F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42DD46-221E-44B4-94B0-767FD200A693}">
  <ds:schemaRefs>
    <ds:schemaRef ds:uri="http://schemas.microsoft.com/sharepoint/v3/contenttype/forms"/>
  </ds:schemaRefs>
</ds:datastoreItem>
</file>

<file path=customXml/itemProps3.xml><?xml version="1.0" encoding="utf-8"?>
<ds:datastoreItem xmlns:ds="http://schemas.openxmlformats.org/officeDocument/2006/customXml" ds:itemID="{2AF3629B-531E-4F68-BB89-ABB9821F9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69b9-38d0-4288-824b-0f923461ac41"/>
    <ds:schemaRef ds:uri="e5e6db89-d4da-4df5-afd5-dacf022ba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4493</Words>
  <Characters>25611</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mariasalcedo</dc:creator>
  <cp:keywords/>
  <dc:description/>
  <cp:lastModifiedBy>Shirley Fellows</cp:lastModifiedBy>
  <cp:revision>2</cp:revision>
  <dcterms:created xsi:type="dcterms:W3CDTF">2021-12-14T11:31:00Z</dcterms:created>
  <dcterms:modified xsi:type="dcterms:W3CDTF">2021-12-14T11:31:00Z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0x010100EF68B6A9E4360248B27D54B637EAE80F</vt:lpwstr>
  </property>
</Properties>
</file>